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D949" w14:textId="1A112559" w:rsidR="0001381D" w:rsidRPr="00981272" w:rsidRDefault="0037761C" w:rsidP="0037761C">
      <w:pPr>
        <w:spacing w:line="228" w:lineRule="auto"/>
        <w:jc w:val="center"/>
        <w:rPr>
          <w:sz w:val="20"/>
          <w:szCs w:val="20"/>
        </w:rPr>
      </w:pPr>
      <w:r w:rsidRPr="00671187">
        <w:rPr>
          <w:noProof/>
          <w:sz w:val="19"/>
          <w:szCs w:val="19"/>
        </w:rPr>
        <mc:AlternateContent>
          <mc:Choice Requires="wps">
            <w:drawing>
              <wp:anchor distT="0" distB="0" distL="114300" distR="114300" simplePos="0" relativeHeight="251665407" behindDoc="1" locked="0" layoutInCell="1" allowOverlap="1" wp14:anchorId="4D24A8FA" wp14:editId="0F110298">
                <wp:simplePos x="0" y="0"/>
                <wp:positionH relativeFrom="column">
                  <wp:posOffset>-23495</wp:posOffset>
                </wp:positionH>
                <wp:positionV relativeFrom="paragraph">
                  <wp:posOffset>333756</wp:posOffset>
                </wp:positionV>
                <wp:extent cx="6647180" cy="278130"/>
                <wp:effectExtent l="0" t="0" r="0" b="1270"/>
                <wp:wrapTight wrapText="bothSides">
                  <wp:wrapPolygon edited="0">
                    <wp:start x="0" y="0"/>
                    <wp:lineTo x="0" y="20712"/>
                    <wp:lineTo x="21542" y="20712"/>
                    <wp:lineTo x="21542" y="0"/>
                    <wp:lineTo x="0" y="0"/>
                  </wp:wrapPolygon>
                </wp:wrapTight>
                <wp:docPr id="6" name="Rectangle 6"/>
                <wp:cNvGraphicFramePr/>
                <a:graphic xmlns:a="http://schemas.openxmlformats.org/drawingml/2006/main">
                  <a:graphicData uri="http://schemas.microsoft.com/office/word/2010/wordprocessingShape">
                    <wps:wsp>
                      <wps:cNvSpPr/>
                      <wps:spPr>
                        <a:xfrm>
                          <a:off x="0" y="0"/>
                          <a:ext cx="6647180" cy="27813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A8FA" id="Rectangle 6" o:spid="_x0000_s1026" style="position:absolute;left:0;text-align:left;margin-left:-1.85pt;margin-top:26.3pt;width:523.4pt;height:21.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" fillcolor="#a5a5a5 [2092]" stroked="f" strokeweight="1pt">
                <v:textbo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v:textbox>
                <w10:wrap type="tight"/>
              </v:rect>
            </w:pict>
          </mc:Fallback>
        </mc:AlternateContent>
      </w:r>
      <w:r w:rsidR="00B40DCF" w:rsidRPr="00B40DCF">
        <w:rPr>
          <w:b/>
          <w:bCs/>
        </w:rPr>
        <w:t xml:space="preserve"> </w:t>
      </w:r>
      <w:r w:rsidR="00B40DCF">
        <w:rPr>
          <w:b/>
          <w:bCs/>
        </w:rPr>
        <w:t xml:space="preserve">Sample </w:t>
      </w:r>
      <w:r w:rsidR="00B40DCF" w:rsidRPr="007A0EED">
        <w:rPr>
          <w:b/>
          <w:bCs/>
        </w:rPr>
        <w:t>Letter of</w:t>
      </w:r>
      <w:r w:rsidR="00B40DCF">
        <w:rPr>
          <w:b/>
          <w:bCs/>
        </w:rPr>
        <w:t xml:space="preserve"> Appeal</w:t>
      </w:r>
      <w:r w:rsidR="00B40DCF" w:rsidRPr="00C70762">
        <w:rPr>
          <w:b/>
          <w:bCs/>
          <w:color w:val="000000" w:themeColor="text1"/>
        </w:rPr>
        <w:t xml:space="preserve"> for OGSIVEO</w:t>
      </w:r>
      <w:r w:rsidR="00B40DCF" w:rsidRPr="00D06A29">
        <w:rPr>
          <w:b/>
          <w:bCs/>
          <w:color w:val="000000" w:themeColor="text1"/>
        </w:rPr>
        <w:t>®</w:t>
      </w:r>
      <w:r w:rsidR="00B40DCF" w:rsidRPr="00C70762">
        <w:rPr>
          <w:b/>
          <w:bCs/>
          <w:color w:val="000000" w:themeColor="text1"/>
        </w:rPr>
        <w:t xml:space="preserve"> (nirogacestat)</w:t>
      </w:r>
      <w:r w:rsidR="00B40DCF">
        <w:rPr>
          <w:b/>
          <w:bCs/>
          <w:color w:val="000000" w:themeColor="text1"/>
        </w:rPr>
        <w:t xml:space="preserve"> to Health Plan Participating in an AFP</w:t>
      </w:r>
    </w:p>
    <w:p w14:paraId="69A724F6" w14:textId="71DBD898" w:rsidR="0001381D" w:rsidRPr="00981272" w:rsidRDefault="0037761C" w:rsidP="00C27442">
      <w:pPr>
        <w:spacing w:line="228" w:lineRule="auto"/>
        <w:rPr>
          <w:sz w:val="20"/>
          <w:szCs w:val="20"/>
        </w:rPr>
      </w:pPr>
      <w:r w:rsidRPr="00671187">
        <w:rPr>
          <w:noProof/>
          <w:sz w:val="19"/>
          <w:szCs w:val="19"/>
        </w:rPr>
        <mc:AlternateContent>
          <mc:Choice Requires="wps">
            <w:drawing>
              <wp:anchor distT="0" distB="0" distL="114300" distR="114300" simplePos="0" relativeHeight="251666432" behindDoc="0" locked="0" layoutInCell="1" allowOverlap="1" wp14:anchorId="3E3E2A69" wp14:editId="1D1515AA">
                <wp:simplePos x="0" y="0"/>
                <wp:positionH relativeFrom="column">
                  <wp:posOffset>-19573</wp:posOffset>
                </wp:positionH>
                <wp:positionV relativeFrom="paragraph">
                  <wp:posOffset>169657</wp:posOffset>
                </wp:positionV>
                <wp:extent cx="6655435" cy="1224429"/>
                <wp:effectExtent l="12700" t="12700" r="12065" b="7620"/>
                <wp:wrapNone/>
                <wp:docPr id="5" name="Text Box 5"/>
                <wp:cNvGraphicFramePr/>
                <a:graphic xmlns:a="http://schemas.openxmlformats.org/drawingml/2006/main">
                  <a:graphicData uri="http://schemas.microsoft.com/office/word/2010/wordprocessingShape">
                    <wps:wsp>
                      <wps:cNvSpPr txBox="1"/>
                      <wps:spPr>
                        <a:xfrm>
                          <a:off x="0" y="0"/>
                          <a:ext cx="6655435" cy="1224429"/>
                        </a:xfrm>
                        <a:prstGeom prst="rect">
                          <a:avLst/>
                        </a:prstGeom>
                        <a:noFill/>
                        <a:ln w="19050">
                          <a:solidFill>
                            <a:schemeClr val="tx1"/>
                          </a:solidFill>
                        </a:ln>
                      </wps:spPr>
                      <wps:txbx>
                        <w:txbxContent>
                          <w:p w14:paraId="623DA332" w14:textId="77777777" w:rsidR="0037761C" w:rsidRPr="0085221A" w:rsidRDefault="0037761C" w:rsidP="0037761C">
                            <w:pPr>
                              <w:spacing w:after="100"/>
                              <w:rPr>
                                <w:sz w:val="22"/>
                                <w:szCs w:val="22"/>
                              </w:rPr>
                            </w:pPr>
                          </w:p>
                          <w:p w14:paraId="344AD8BE" w14:textId="4D84FFC1" w:rsidR="00B40DCF" w:rsidRPr="00D06A29" w:rsidRDefault="00B40DCF" w:rsidP="00B40DCF">
                            <w:pPr>
                              <w:rPr>
                                <w:rFonts w:cstheme="minorHAnsi"/>
                                <w:color w:val="000000" w:themeColor="text1"/>
                                <w:sz w:val="19"/>
                                <w:szCs w:val="19"/>
                              </w:rPr>
                            </w:pPr>
                            <w:r w:rsidRPr="00D06A29">
                              <w:rPr>
                                <w:rFonts w:cstheme="minorHAnsi"/>
                                <w:sz w:val="19"/>
                                <w:szCs w:val="19"/>
                              </w:rPr>
                              <w:t xml:space="preserve">This is an example of a letter of appeal to a patient's insurance company that participates in an </w:t>
                            </w:r>
                            <w:r>
                              <w:rPr>
                                <w:rFonts w:cstheme="minorHAnsi"/>
                                <w:sz w:val="19"/>
                                <w:szCs w:val="19"/>
                              </w:rPr>
                              <w:t>A</w:t>
                            </w:r>
                            <w:r w:rsidRPr="00D06A29">
                              <w:rPr>
                                <w:rFonts w:cstheme="minorHAnsi"/>
                                <w:sz w:val="19"/>
                                <w:szCs w:val="19"/>
                              </w:rPr>
                              <w:t xml:space="preserve">lternative </w:t>
                            </w:r>
                            <w:r>
                              <w:rPr>
                                <w:rFonts w:cstheme="minorHAnsi"/>
                                <w:sz w:val="19"/>
                                <w:szCs w:val="19"/>
                              </w:rPr>
                              <w:t>F</w:t>
                            </w:r>
                            <w:r w:rsidRPr="00D06A29">
                              <w:rPr>
                                <w:rFonts w:cstheme="minorHAnsi"/>
                                <w:sz w:val="19"/>
                                <w:szCs w:val="19"/>
                              </w:rPr>
                              <w:t xml:space="preserve">unding </w:t>
                            </w:r>
                            <w:r>
                              <w:rPr>
                                <w:rFonts w:cstheme="minorHAnsi"/>
                                <w:sz w:val="19"/>
                                <w:szCs w:val="19"/>
                              </w:rPr>
                              <w:t>P</w:t>
                            </w:r>
                            <w:r w:rsidRPr="00D06A29">
                              <w:rPr>
                                <w:rFonts w:cstheme="minorHAnsi"/>
                                <w:sz w:val="19"/>
                                <w:szCs w:val="19"/>
                              </w:rPr>
                              <w:t>rogram (AFP) and has denied coverage of OGSIVEO</w:t>
                            </w:r>
                            <w:r w:rsidRPr="00D06A29">
                              <w:rPr>
                                <w:rFonts w:cstheme="minorHAnsi"/>
                                <w:color w:val="000000" w:themeColor="text1"/>
                                <w:sz w:val="19"/>
                                <w:szCs w:val="19"/>
                              </w:rPr>
                              <w:t xml:space="preserve">. The information in this letter provides suggestions for the type of information to consider including </w:t>
                            </w:r>
                            <w:r w:rsidR="00342A85">
                              <w:rPr>
                                <w:rFonts w:cstheme="minorHAnsi"/>
                                <w:color w:val="000000" w:themeColor="text1"/>
                                <w:sz w:val="19"/>
                                <w:szCs w:val="19"/>
                              </w:rPr>
                              <w:t>in</w:t>
                            </w:r>
                            <w:r w:rsidRPr="00D06A29">
                              <w:rPr>
                                <w:rFonts w:cstheme="minorHAnsi"/>
                                <w:color w:val="000000" w:themeColor="text1"/>
                                <w:sz w:val="19"/>
                                <w:szCs w:val="19"/>
                              </w:rPr>
                              <w:t xml:space="preserve"> a letter of appeal. Use of the information in this letter does not guarantee that the health plan will cover OGSIVEO, and it is not intended to be a substitute for, or an influence on, the independent medical judgment of the healthcare provider. When completing any request, it is the responsibility of the healthcare provider to adhere to the payer's specific requirements at that time.</w:t>
                            </w: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E2A69" id="_x0000_t202" coordsize="21600,21600" o:spt="202" path="m,l,21600r21600,l21600,xe">
                <v:stroke joinstyle="miter"/>
                <v:path gradientshapeok="t" o:connecttype="rect"/>
              </v:shapetype>
              <v:shape id="Text Box 5" o:spid="_x0000_s1027" type="#_x0000_t202" style="position:absolute;margin-left:-1.55pt;margin-top:13.35pt;width:524.05pt;height:9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" filled="f" strokecolor="black [3213]" strokeweight="1.5pt">
                <v:textbox>
                  <w:txbxContent>
                    <w:p w14:paraId="623DA332" w14:textId="77777777" w:rsidR="0037761C" w:rsidRPr="0085221A" w:rsidRDefault="0037761C" w:rsidP="0037761C">
                      <w:pPr>
                        <w:spacing w:after="100"/>
                        <w:rPr>
                          <w:sz w:val="22"/>
                          <w:szCs w:val="22"/>
                        </w:rPr>
                      </w:pPr>
                    </w:p>
                    <w:p w14:paraId="344AD8BE" w14:textId="4D84FFC1" w:rsidR="00B40DCF" w:rsidRPr="00D06A29" w:rsidRDefault="00B40DCF" w:rsidP="00B40DCF">
                      <w:pPr>
                        <w:rPr>
                          <w:rFonts w:cstheme="minorHAnsi"/>
                          <w:color w:val="000000" w:themeColor="text1"/>
                          <w:sz w:val="19"/>
                          <w:szCs w:val="19"/>
                        </w:rPr>
                      </w:pPr>
                      <w:r w:rsidRPr="00D06A29">
                        <w:rPr>
                          <w:rFonts w:cstheme="minorHAnsi"/>
                          <w:sz w:val="19"/>
                          <w:szCs w:val="19"/>
                        </w:rPr>
                        <w:t xml:space="preserve">This is an example of a letter of appeal to a patient's insurance company that participates in an </w:t>
                      </w:r>
                      <w:r>
                        <w:rPr>
                          <w:rFonts w:cstheme="minorHAnsi"/>
                          <w:sz w:val="19"/>
                          <w:szCs w:val="19"/>
                        </w:rPr>
                        <w:t>A</w:t>
                      </w:r>
                      <w:r w:rsidRPr="00D06A29">
                        <w:rPr>
                          <w:rFonts w:cstheme="minorHAnsi"/>
                          <w:sz w:val="19"/>
                          <w:szCs w:val="19"/>
                        </w:rPr>
                        <w:t xml:space="preserve">lternative </w:t>
                      </w:r>
                      <w:r>
                        <w:rPr>
                          <w:rFonts w:cstheme="minorHAnsi"/>
                          <w:sz w:val="19"/>
                          <w:szCs w:val="19"/>
                        </w:rPr>
                        <w:t>F</w:t>
                      </w:r>
                      <w:r w:rsidRPr="00D06A29">
                        <w:rPr>
                          <w:rFonts w:cstheme="minorHAnsi"/>
                          <w:sz w:val="19"/>
                          <w:szCs w:val="19"/>
                        </w:rPr>
                        <w:t xml:space="preserve">unding </w:t>
                      </w:r>
                      <w:r>
                        <w:rPr>
                          <w:rFonts w:cstheme="minorHAnsi"/>
                          <w:sz w:val="19"/>
                          <w:szCs w:val="19"/>
                        </w:rPr>
                        <w:t>P</w:t>
                      </w:r>
                      <w:r w:rsidRPr="00D06A29">
                        <w:rPr>
                          <w:rFonts w:cstheme="minorHAnsi"/>
                          <w:sz w:val="19"/>
                          <w:szCs w:val="19"/>
                        </w:rPr>
                        <w:t>rogram (AFP) and has denied coverage of OGSIVEO</w:t>
                      </w:r>
                      <w:r w:rsidRPr="00D06A29">
                        <w:rPr>
                          <w:rFonts w:cstheme="minorHAnsi"/>
                          <w:color w:val="000000" w:themeColor="text1"/>
                          <w:sz w:val="19"/>
                          <w:szCs w:val="19"/>
                        </w:rPr>
                        <w:t xml:space="preserve">. The information in this letter provides suggestions for the type of information to consider including </w:t>
                      </w:r>
                      <w:r w:rsidR="00342A85">
                        <w:rPr>
                          <w:rFonts w:cstheme="minorHAnsi"/>
                          <w:color w:val="000000" w:themeColor="text1"/>
                          <w:sz w:val="19"/>
                          <w:szCs w:val="19"/>
                        </w:rPr>
                        <w:t>in</w:t>
                      </w:r>
                      <w:r w:rsidRPr="00D06A29">
                        <w:rPr>
                          <w:rFonts w:cstheme="minorHAnsi"/>
                          <w:color w:val="000000" w:themeColor="text1"/>
                          <w:sz w:val="19"/>
                          <w:szCs w:val="19"/>
                        </w:rPr>
                        <w:t xml:space="preserve"> a letter of appeal. </w:t>
                      </w:r>
                      <w:r w:rsidRPr="00D06A29">
                        <w:rPr>
                          <w:rFonts w:cstheme="minorHAnsi"/>
                          <w:color w:val="000000" w:themeColor="text1"/>
                          <w:sz w:val="19"/>
                          <w:szCs w:val="19"/>
                        </w:rPr>
                        <w:t xml:space="preserve">Use of the information in this letter does not guarantee that the health plan will cover </w:t>
                      </w:r>
                      <w:r w:rsidRPr="00D06A29">
                        <w:rPr>
                          <w:rFonts w:cstheme="minorHAnsi"/>
                          <w:color w:val="000000" w:themeColor="text1"/>
                          <w:sz w:val="19"/>
                          <w:szCs w:val="19"/>
                        </w:rPr>
                        <w:t>OGSIVEO, and it is not intended to be a substitute for, or an influence on, the independent medical judgment of the healthcare provider. When completing any request, it is the responsibility of the healthcare provider to adhere to the payer's specific requirements at that time.</w:t>
                      </w: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v:textbox>
              </v:shape>
            </w:pict>
          </mc:Fallback>
        </mc:AlternateContent>
      </w:r>
    </w:p>
    <w:p w14:paraId="18088949" w14:textId="75E92F66" w:rsidR="0001381D" w:rsidRPr="00981272" w:rsidRDefault="0001381D" w:rsidP="00C27442">
      <w:pPr>
        <w:spacing w:line="228" w:lineRule="auto"/>
        <w:rPr>
          <w:sz w:val="20"/>
          <w:szCs w:val="20"/>
        </w:rPr>
      </w:pPr>
    </w:p>
    <w:p w14:paraId="5777D472" w14:textId="12020D5F" w:rsidR="0001381D" w:rsidRPr="00981272" w:rsidRDefault="0001381D" w:rsidP="00C27442">
      <w:pPr>
        <w:spacing w:line="228" w:lineRule="auto"/>
        <w:rPr>
          <w:sz w:val="20"/>
          <w:szCs w:val="20"/>
        </w:rPr>
      </w:pPr>
    </w:p>
    <w:p w14:paraId="397C7A18" w14:textId="77777777" w:rsidR="0001381D" w:rsidRPr="00981272" w:rsidRDefault="0001381D" w:rsidP="00C27442">
      <w:pPr>
        <w:spacing w:line="228" w:lineRule="auto"/>
        <w:rPr>
          <w:sz w:val="20"/>
          <w:szCs w:val="20"/>
        </w:rPr>
      </w:pPr>
    </w:p>
    <w:p w14:paraId="6D5D1012" w14:textId="77777777" w:rsidR="0001381D" w:rsidRPr="00981272" w:rsidRDefault="0001381D" w:rsidP="00C27442">
      <w:pPr>
        <w:spacing w:line="228" w:lineRule="auto"/>
        <w:rPr>
          <w:sz w:val="20"/>
          <w:szCs w:val="20"/>
        </w:rPr>
      </w:pPr>
    </w:p>
    <w:p w14:paraId="45029D9A" w14:textId="77777777" w:rsidR="0001381D" w:rsidRPr="00981272" w:rsidRDefault="0001381D" w:rsidP="00C27442">
      <w:pPr>
        <w:spacing w:line="228" w:lineRule="auto"/>
        <w:rPr>
          <w:sz w:val="20"/>
          <w:szCs w:val="20"/>
        </w:rPr>
      </w:pPr>
    </w:p>
    <w:p w14:paraId="2C540DBE" w14:textId="0A3C8285" w:rsidR="00116251" w:rsidRPr="00981272" w:rsidRDefault="00116251" w:rsidP="00C27442">
      <w:pPr>
        <w:spacing w:line="228" w:lineRule="auto"/>
        <w:rPr>
          <w:b/>
          <w:bCs/>
          <w:sz w:val="20"/>
          <w:szCs w:val="20"/>
        </w:rPr>
      </w:pPr>
    </w:p>
    <w:p w14:paraId="09F9B485" w14:textId="77777777" w:rsidR="0037761C" w:rsidRDefault="0037761C" w:rsidP="009B1144">
      <w:pPr>
        <w:rPr>
          <w:rFonts w:cstheme="minorHAnsi"/>
          <w:color w:val="000000" w:themeColor="text1"/>
          <w:sz w:val="19"/>
          <w:szCs w:val="19"/>
        </w:rPr>
      </w:pPr>
    </w:p>
    <w:p w14:paraId="477F3B49" w14:textId="77777777" w:rsidR="009C5AAF" w:rsidRDefault="009C5AAF" w:rsidP="009C5AAF">
      <w:pPr>
        <w:jc w:val="center"/>
        <w:rPr>
          <w:color w:val="FD2ED8"/>
          <w:sz w:val="19"/>
          <w:szCs w:val="19"/>
        </w:rPr>
      </w:pPr>
    </w:p>
    <w:p w14:paraId="607977CA" w14:textId="7712342F" w:rsidR="009C5AAF" w:rsidRPr="009C5AAF" w:rsidRDefault="009C5AAF" w:rsidP="009C5AAF">
      <w:pPr>
        <w:jc w:val="center"/>
        <w:rPr>
          <w:color w:val="FD2ED8"/>
          <w:sz w:val="19"/>
          <w:szCs w:val="19"/>
        </w:rPr>
      </w:pPr>
      <w:r w:rsidRPr="00D06A29">
        <w:rPr>
          <w:color w:val="FD2ED8"/>
          <w:sz w:val="19"/>
          <w:szCs w:val="19"/>
        </w:rPr>
        <w:t>[Physician letterhead]</w:t>
      </w:r>
    </w:p>
    <w:p w14:paraId="7F522CA5" w14:textId="77777777" w:rsidR="009C5AAF" w:rsidRDefault="009C5AAF" w:rsidP="0037761C">
      <w:pPr>
        <w:rPr>
          <w:rFonts w:cstheme="minorHAnsi"/>
          <w:color w:val="FD2ED8"/>
          <w:sz w:val="19"/>
          <w:szCs w:val="19"/>
        </w:rPr>
      </w:pPr>
    </w:p>
    <w:p w14:paraId="7B775777" w14:textId="7976DFED" w:rsidR="0037761C" w:rsidRPr="009C5AAF" w:rsidRDefault="0037761C" w:rsidP="0037761C">
      <w:pPr>
        <w:rPr>
          <w:rFonts w:cstheme="minorHAnsi"/>
          <w:color w:val="FD2ED8"/>
          <w:sz w:val="19"/>
          <w:szCs w:val="19"/>
        </w:rPr>
      </w:pPr>
      <w:r w:rsidRPr="009C5AAF">
        <w:rPr>
          <w:rFonts w:cstheme="minorHAnsi"/>
          <w:color w:val="FD2ED8"/>
          <w:sz w:val="19"/>
          <w:szCs w:val="19"/>
        </w:rPr>
        <w:t>[Date]</w:t>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p>
    <w:p w14:paraId="2C6359F5" w14:textId="4791E2C5" w:rsidR="0037761C" w:rsidRPr="009C5AAF" w:rsidRDefault="0037761C" w:rsidP="0037761C">
      <w:pPr>
        <w:rPr>
          <w:rFonts w:cstheme="minorHAnsi"/>
          <w:color w:val="FD2ED8"/>
          <w:sz w:val="19"/>
          <w:szCs w:val="19"/>
        </w:rPr>
      </w:pPr>
      <w:r w:rsidRPr="009C5AAF">
        <w:rPr>
          <w:rFonts w:cstheme="minorHAnsi"/>
          <w:sz w:val="19"/>
          <w:szCs w:val="19"/>
        </w:rPr>
        <w:t xml:space="preserve">Attn: </w:t>
      </w:r>
      <w:r w:rsidRPr="009C5AAF">
        <w:rPr>
          <w:rFonts w:cstheme="minorHAnsi"/>
          <w:color w:val="FD2ED8"/>
          <w:sz w:val="19"/>
          <w:szCs w:val="19"/>
        </w:rPr>
        <w:t xml:space="preserve">[Insert health insurance plan contact name] </w:t>
      </w:r>
      <w:r w:rsidRPr="009C5AAF">
        <w:rPr>
          <w:rFonts w:cstheme="minorHAnsi"/>
          <w:color w:val="FD2ED8"/>
          <w:sz w:val="19"/>
          <w:szCs w:val="19"/>
        </w:rPr>
        <w:tab/>
      </w:r>
      <w:r w:rsidRPr="009C5AAF">
        <w:rPr>
          <w:rFonts w:cstheme="minorHAnsi"/>
          <w:color w:val="FD2ED8"/>
          <w:sz w:val="19"/>
          <w:szCs w:val="19"/>
        </w:rPr>
        <w:tab/>
      </w:r>
      <w:r w:rsidRPr="009C5AAF">
        <w:rPr>
          <w:rFonts w:cstheme="minorHAnsi"/>
          <w:sz w:val="19"/>
          <w:szCs w:val="19"/>
        </w:rPr>
        <w:t xml:space="preserve">RE: </w:t>
      </w:r>
      <w:r w:rsidRPr="009C5AAF">
        <w:rPr>
          <w:rFonts w:cstheme="minorHAnsi"/>
          <w:color w:val="FD2ED8"/>
          <w:sz w:val="19"/>
          <w:szCs w:val="19"/>
        </w:rPr>
        <w:t xml:space="preserve">[Insert </w:t>
      </w:r>
      <w:r w:rsidR="00717AFE">
        <w:rPr>
          <w:rFonts w:cstheme="minorHAnsi"/>
          <w:color w:val="FD2ED8"/>
          <w:sz w:val="19"/>
          <w:szCs w:val="19"/>
        </w:rPr>
        <w:t>Patient</w:t>
      </w:r>
      <w:r w:rsidRPr="009C5AAF">
        <w:rPr>
          <w:rFonts w:cstheme="minorHAnsi"/>
          <w:color w:val="FD2ED8"/>
          <w:sz w:val="19"/>
          <w:szCs w:val="19"/>
        </w:rPr>
        <w:t xml:space="preserve"> name] </w:t>
      </w:r>
    </w:p>
    <w:p w14:paraId="7A7ECADE" w14:textId="36FC0942" w:rsidR="0037761C" w:rsidRPr="009C5AAF" w:rsidRDefault="0037761C" w:rsidP="0037761C">
      <w:pPr>
        <w:rPr>
          <w:rFonts w:cstheme="minorHAnsi"/>
          <w:sz w:val="19"/>
          <w:szCs w:val="19"/>
        </w:rPr>
      </w:pPr>
      <w:r w:rsidRPr="009C5AAF">
        <w:rPr>
          <w:rFonts w:cstheme="minorHAnsi"/>
          <w:color w:val="FD2ED8"/>
          <w:sz w:val="19"/>
          <w:szCs w:val="19"/>
        </w:rPr>
        <w:t>[Insert name of insurance company]</w:t>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00C22CA3">
        <w:rPr>
          <w:rFonts w:cstheme="minorHAnsi"/>
          <w:color w:val="FD2ED8"/>
          <w:sz w:val="19"/>
          <w:szCs w:val="19"/>
        </w:rPr>
        <w:tab/>
      </w:r>
      <w:r w:rsidRPr="009C5AAF">
        <w:rPr>
          <w:rFonts w:cstheme="minorHAnsi"/>
          <w:sz w:val="19"/>
          <w:szCs w:val="19"/>
        </w:rPr>
        <w:t xml:space="preserve">DOB: </w:t>
      </w:r>
      <w:r w:rsidRPr="009C5AAF">
        <w:rPr>
          <w:rFonts w:cstheme="minorHAnsi"/>
          <w:color w:val="FD2ED8"/>
          <w:sz w:val="19"/>
          <w:szCs w:val="19"/>
        </w:rPr>
        <w:t xml:space="preserve">[Insert </w:t>
      </w:r>
      <w:r w:rsidR="00717AFE">
        <w:rPr>
          <w:rFonts w:cstheme="minorHAnsi"/>
          <w:color w:val="FD2ED8"/>
          <w:sz w:val="19"/>
          <w:szCs w:val="19"/>
        </w:rPr>
        <w:t>Patient</w:t>
      </w:r>
      <w:r w:rsidRPr="009C5AAF">
        <w:rPr>
          <w:rFonts w:cstheme="minorHAnsi"/>
          <w:color w:val="FD2ED8"/>
          <w:sz w:val="19"/>
          <w:szCs w:val="19"/>
        </w:rPr>
        <w:t xml:space="preserve"> date of birth]</w:t>
      </w:r>
    </w:p>
    <w:p w14:paraId="6D398FB2" w14:textId="77777777" w:rsidR="0037761C" w:rsidRPr="009C5AAF" w:rsidRDefault="0037761C" w:rsidP="0037761C">
      <w:pPr>
        <w:rPr>
          <w:rFonts w:cstheme="minorHAnsi"/>
          <w:sz w:val="19"/>
          <w:szCs w:val="19"/>
        </w:rPr>
      </w:pPr>
      <w:r w:rsidRPr="009C5AAF">
        <w:rPr>
          <w:rFonts w:cstheme="minorHAnsi"/>
          <w:color w:val="FD2ED8"/>
          <w:sz w:val="19"/>
          <w:szCs w:val="19"/>
        </w:rPr>
        <w:t>[Insert street address]</w:t>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sz w:val="19"/>
          <w:szCs w:val="19"/>
        </w:rPr>
        <w:t xml:space="preserve">Policy number: </w:t>
      </w:r>
      <w:r w:rsidRPr="009C5AAF">
        <w:rPr>
          <w:rFonts w:cstheme="minorHAnsi"/>
          <w:color w:val="FD2ED8"/>
          <w:sz w:val="19"/>
          <w:szCs w:val="19"/>
        </w:rPr>
        <w:t xml:space="preserve">[Insert subscriber policy number] </w:t>
      </w:r>
    </w:p>
    <w:p w14:paraId="29698B7C" w14:textId="70635210" w:rsidR="0037761C" w:rsidRPr="009C5AAF" w:rsidRDefault="0037761C" w:rsidP="00B40DCF">
      <w:pPr>
        <w:rPr>
          <w:rFonts w:cstheme="minorHAnsi"/>
          <w:color w:val="FD2ED8"/>
          <w:sz w:val="19"/>
          <w:szCs w:val="19"/>
        </w:rPr>
      </w:pPr>
      <w:r w:rsidRPr="009C5AAF">
        <w:rPr>
          <w:rFonts w:cstheme="minorHAnsi"/>
          <w:color w:val="FD2ED8"/>
          <w:sz w:val="19"/>
          <w:szCs w:val="19"/>
        </w:rPr>
        <w:t>[Insert city, state, ZIP]</w:t>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FD2ED8"/>
          <w:sz w:val="19"/>
          <w:szCs w:val="19"/>
        </w:rPr>
        <w:tab/>
      </w:r>
      <w:r w:rsidRPr="009C5AAF">
        <w:rPr>
          <w:rFonts w:cstheme="minorHAnsi"/>
          <w:color w:val="000000" w:themeColor="text1"/>
          <w:sz w:val="19"/>
          <w:szCs w:val="19"/>
        </w:rPr>
        <w:t xml:space="preserve">Group number: </w:t>
      </w:r>
      <w:r w:rsidRPr="009C5AAF">
        <w:rPr>
          <w:rFonts w:cstheme="minorHAnsi"/>
          <w:color w:val="FD2ED8"/>
          <w:sz w:val="19"/>
          <w:szCs w:val="19"/>
        </w:rPr>
        <w:t>[Insert subscriber group number]</w:t>
      </w:r>
      <w:r w:rsidRPr="009C5AAF">
        <w:rPr>
          <w:rFonts w:cstheme="minorHAnsi"/>
          <w:color w:val="FD2ED8"/>
          <w:sz w:val="19"/>
          <w:szCs w:val="19"/>
        </w:rPr>
        <w:tab/>
      </w:r>
      <w:r w:rsidRPr="009C5AAF">
        <w:rPr>
          <w:rFonts w:cstheme="minorHAnsi"/>
          <w:color w:val="FD2ED8"/>
          <w:sz w:val="19"/>
          <w:szCs w:val="19"/>
        </w:rPr>
        <w:tab/>
      </w:r>
    </w:p>
    <w:p w14:paraId="43F23492" w14:textId="77777777" w:rsidR="0037761C" w:rsidRPr="009C5AAF" w:rsidRDefault="0037761C" w:rsidP="0037761C">
      <w:pPr>
        <w:rPr>
          <w:sz w:val="19"/>
          <w:szCs w:val="19"/>
        </w:rPr>
      </w:pPr>
    </w:p>
    <w:p w14:paraId="418EC1AD" w14:textId="0E79AEAE" w:rsidR="0037761C" w:rsidRPr="009C5AAF" w:rsidRDefault="00B40DCF" w:rsidP="0037761C">
      <w:pPr>
        <w:rPr>
          <w:sz w:val="19"/>
          <w:szCs w:val="19"/>
        </w:rPr>
      </w:pPr>
      <w:r w:rsidRPr="009C5AAF">
        <w:rPr>
          <w:color w:val="FD2ED8"/>
          <w:sz w:val="19"/>
          <w:szCs w:val="19"/>
        </w:rPr>
        <w:t xml:space="preserve">[Health plan contact </w:t>
      </w:r>
      <w:r w:rsidRPr="009C5AAF">
        <w:rPr>
          <w:rFonts w:ascii="Calibri" w:hAnsi="Calibri" w:cs="Calibri"/>
          <w:color w:val="FD2ED8"/>
          <w:sz w:val="19"/>
          <w:szCs w:val="19"/>
        </w:rPr>
        <w:t>name]</w:t>
      </w:r>
      <w:r w:rsidRPr="009C5AAF">
        <w:rPr>
          <w:sz w:val="19"/>
          <w:szCs w:val="19"/>
        </w:rPr>
        <w:t>,</w:t>
      </w:r>
    </w:p>
    <w:p w14:paraId="41EDD796" w14:textId="77777777" w:rsidR="00B40DCF" w:rsidRPr="009C5AAF" w:rsidRDefault="00B40DCF" w:rsidP="0037761C">
      <w:pPr>
        <w:rPr>
          <w:sz w:val="19"/>
          <w:szCs w:val="19"/>
        </w:rPr>
      </w:pPr>
    </w:p>
    <w:p w14:paraId="68C048B5" w14:textId="138346D5" w:rsidR="00B40DCF" w:rsidRPr="009C5AAF" w:rsidRDefault="00B40DCF" w:rsidP="00B40DCF">
      <w:pPr>
        <w:rPr>
          <w:rFonts w:ascii="Calibri" w:hAnsi="Calibri" w:cs="Calibri"/>
          <w:sz w:val="19"/>
          <w:szCs w:val="19"/>
        </w:rPr>
      </w:pPr>
      <w:r w:rsidRPr="009C5AAF">
        <w:rPr>
          <w:rFonts w:ascii="Calibri" w:hAnsi="Calibri" w:cs="Calibri"/>
          <w:sz w:val="19"/>
          <w:szCs w:val="19"/>
        </w:rPr>
        <w:t xml:space="preserve">I am writing on behalf of the above-mentioned patient, </w:t>
      </w:r>
      <w:r w:rsidRPr="009C5AAF">
        <w:rPr>
          <w:rFonts w:ascii="Calibri" w:hAnsi="Calibri" w:cs="Calibri"/>
          <w:color w:val="FD2ED8"/>
          <w:sz w:val="19"/>
          <w:szCs w:val="19"/>
        </w:rPr>
        <w:t>[insert patient name]</w:t>
      </w:r>
      <w:r w:rsidRPr="009C5AAF">
        <w:rPr>
          <w:rFonts w:ascii="Calibri" w:hAnsi="Calibri" w:cs="Calibri"/>
          <w:sz w:val="19"/>
          <w:szCs w:val="19"/>
        </w:rPr>
        <w:t xml:space="preserve">, to </w:t>
      </w:r>
      <w:r w:rsidRPr="009C5AAF">
        <w:rPr>
          <w:rFonts w:ascii="Calibri" w:hAnsi="Calibri" w:cs="Calibri"/>
          <w:color w:val="000000" w:themeColor="text1"/>
          <w:sz w:val="19"/>
          <w:szCs w:val="19"/>
        </w:rPr>
        <w:t xml:space="preserve">appeal the decision to deny coverage of </w:t>
      </w:r>
      <w:r w:rsidR="00103A7D">
        <w:rPr>
          <w:rFonts w:ascii="Calibri" w:hAnsi="Calibri" w:cs="Calibri"/>
          <w:color w:val="000000" w:themeColor="text1"/>
          <w:sz w:val="19"/>
          <w:szCs w:val="19"/>
        </w:rPr>
        <w:br/>
      </w:r>
      <w:r w:rsidRPr="009C5AAF">
        <w:rPr>
          <w:rFonts w:ascii="Calibri" w:hAnsi="Calibri" w:cs="Calibri"/>
          <w:color w:val="000000" w:themeColor="text1"/>
          <w:sz w:val="19"/>
          <w:szCs w:val="19"/>
        </w:rPr>
        <w:t>OGSIVEO</w:t>
      </w:r>
      <w:r w:rsidRPr="009C5AAF">
        <w:rPr>
          <w:rFonts w:ascii="Calibri" w:hAnsi="Calibri" w:cs="Calibri"/>
          <w:sz w:val="19"/>
          <w:szCs w:val="19"/>
        </w:rPr>
        <w:t>®</w:t>
      </w:r>
      <w:r w:rsidRPr="009C5AAF">
        <w:rPr>
          <w:rFonts w:ascii="Calibri" w:hAnsi="Calibri" w:cs="Calibri"/>
          <w:color w:val="000000" w:themeColor="text1"/>
          <w:sz w:val="19"/>
          <w:szCs w:val="19"/>
        </w:rPr>
        <w:t xml:space="preserve"> </w:t>
      </w:r>
      <w:r w:rsidRPr="009C5AAF">
        <w:rPr>
          <w:rFonts w:ascii="Calibri" w:hAnsi="Calibri" w:cs="Calibri"/>
          <w:sz w:val="19"/>
          <w:szCs w:val="19"/>
        </w:rPr>
        <w:t xml:space="preserve">(nirogacestat). </w:t>
      </w:r>
    </w:p>
    <w:p w14:paraId="33B23FCB" w14:textId="77777777" w:rsidR="00B40DCF" w:rsidRPr="009C5AAF" w:rsidRDefault="00B40DCF" w:rsidP="00B40DCF">
      <w:pPr>
        <w:rPr>
          <w:rFonts w:ascii="Calibri" w:hAnsi="Calibri" w:cs="Calibri"/>
          <w:sz w:val="19"/>
          <w:szCs w:val="19"/>
          <w:vertAlign w:val="superscript"/>
        </w:rPr>
      </w:pPr>
    </w:p>
    <w:p w14:paraId="584618C6" w14:textId="54633DE5" w:rsidR="00B40DCF" w:rsidRPr="009C5AAF" w:rsidRDefault="00B40DCF" w:rsidP="00B40DCF">
      <w:pPr>
        <w:rPr>
          <w:sz w:val="19"/>
          <w:szCs w:val="19"/>
        </w:rPr>
      </w:pPr>
      <w:r w:rsidRPr="009C5AAF">
        <w:rPr>
          <w:rFonts w:ascii="Calibri" w:hAnsi="Calibri" w:cs="Calibri"/>
          <w:color w:val="FD2ED8"/>
          <w:sz w:val="19"/>
          <w:szCs w:val="19"/>
        </w:rPr>
        <w:t xml:space="preserve">[Patient name] </w:t>
      </w:r>
      <w:r w:rsidRPr="009C5AAF">
        <w:rPr>
          <w:rFonts w:ascii="Calibri" w:hAnsi="Calibri" w:cs="Calibri"/>
          <w:color w:val="000000" w:themeColor="text1"/>
          <w:sz w:val="19"/>
          <w:szCs w:val="19"/>
        </w:rPr>
        <w:t xml:space="preserve">was diagnosed with desmoid tumor on </w:t>
      </w:r>
      <w:r w:rsidRPr="009C5AAF">
        <w:rPr>
          <w:rFonts w:ascii="Calibri" w:hAnsi="Calibri" w:cs="Calibri"/>
          <w:color w:val="FD2ED8"/>
          <w:sz w:val="19"/>
          <w:szCs w:val="19"/>
        </w:rPr>
        <w:t>[insert date]</w:t>
      </w:r>
      <w:r w:rsidRPr="009C5AAF">
        <w:rPr>
          <w:rFonts w:ascii="Calibri" w:hAnsi="Calibri" w:cs="Calibri"/>
          <w:color w:val="000000" w:themeColor="text1"/>
          <w:sz w:val="19"/>
          <w:szCs w:val="19"/>
        </w:rPr>
        <w:t xml:space="preserve">, and I have prescribed OGSIVEO, a treatment that is medically appropriate and necessary for my patient. OGSIVEO is </w:t>
      </w:r>
      <w:r w:rsidRPr="009C5AAF">
        <w:rPr>
          <w:sz w:val="19"/>
          <w:szCs w:val="19"/>
        </w:rPr>
        <w:t xml:space="preserve">currently the only treatment approved by the US Food and Drug Administration for the treatment of adult patients with progressing desmoid tumors who require systemic therapy. Unfortunately, </w:t>
      </w:r>
      <w:r w:rsidRPr="009C5AAF">
        <w:rPr>
          <w:rFonts w:ascii="Calibri" w:hAnsi="Calibri" w:cs="Calibri"/>
          <w:color w:val="FD2ED8"/>
          <w:sz w:val="19"/>
          <w:szCs w:val="19"/>
        </w:rPr>
        <w:t xml:space="preserve">[health plan name] </w:t>
      </w:r>
      <w:r w:rsidRPr="009C5AAF">
        <w:rPr>
          <w:rFonts w:ascii="Calibri" w:hAnsi="Calibri" w:cs="Calibri"/>
          <w:color w:val="000000" w:themeColor="text1"/>
          <w:sz w:val="19"/>
          <w:szCs w:val="19"/>
        </w:rPr>
        <w:t>has denied coverage for this medication.</w:t>
      </w:r>
    </w:p>
    <w:p w14:paraId="14314F74" w14:textId="77777777" w:rsidR="00B40DCF" w:rsidRPr="009C5AAF" w:rsidRDefault="00B40DCF" w:rsidP="00B40DCF">
      <w:pPr>
        <w:rPr>
          <w:rFonts w:ascii="Calibri" w:hAnsi="Calibri" w:cs="Calibri"/>
          <w:sz w:val="19"/>
          <w:szCs w:val="19"/>
        </w:rPr>
      </w:pPr>
    </w:p>
    <w:p w14:paraId="42C1E1B8" w14:textId="03C31160" w:rsidR="00B40DCF" w:rsidRPr="009C5AAF" w:rsidRDefault="00342A85" w:rsidP="00B40DCF">
      <w:pPr>
        <w:rPr>
          <w:rFonts w:ascii="Calibri" w:hAnsi="Calibri" w:cs="Calibri"/>
          <w:color w:val="000000" w:themeColor="text1"/>
          <w:sz w:val="19"/>
          <w:szCs w:val="19"/>
        </w:rPr>
      </w:pPr>
      <w:r>
        <w:rPr>
          <w:rFonts w:ascii="Calibri" w:hAnsi="Calibri" w:cs="Calibri"/>
          <w:sz w:val="19"/>
          <w:szCs w:val="19"/>
        </w:rPr>
        <w:t>Since denying coverage</w:t>
      </w:r>
      <w:r w:rsidR="00B40DCF" w:rsidRPr="009C5AAF">
        <w:rPr>
          <w:rFonts w:ascii="Calibri" w:hAnsi="Calibri" w:cs="Calibri"/>
          <w:sz w:val="19"/>
          <w:szCs w:val="19"/>
        </w:rPr>
        <w:t xml:space="preserve">, it appears that </w:t>
      </w:r>
      <w:r w:rsidR="00B40DCF" w:rsidRPr="009C5AAF">
        <w:rPr>
          <w:rFonts w:ascii="Calibri" w:hAnsi="Calibri" w:cs="Calibri"/>
          <w:color w:val="FD2ED8"/>
          <w:sz w:val="19"/>
          <w:szCs w:val="19"/>
        </w:rPr>
        <w:t xml:space="preserve">[health plan name] </w:t>
      </w:r>
      <w:r w:rsidR="00B40DCF" w:rsidRPr="009C5AAF">
        <w:rPr>
          <w:rFonts w:ascii="Calibri" w:hAnsi="Calibri" w:cs="Calibri"/>
          <w:color w:val="000000" w:themeColor="text1"/>
          <w:sz w:val="19"/>
          <w:szCs w:val="19"/>
        </w:rPr>
        <w:t xml:space="preserve">has directed </w:t>
      </w:r>
      <w:r w:rsidR="00B40DCF" w:rsidRPr="009C5AAF">
        <w:rPr>
          <w:rFonts w:ascii="Calibri" w:hAnsi="Calibri" w:cs="Calibri"/>
          <w:color w:val="FF40FF"/>
          <w:sz w:val="19"/>
          <w:szCs w:val="19"/>
        </w:rPr>
        <w:t xml:space="preserve">[patient name] </w:t>
      </w:r>
      <w:r w:rsidR="00B40DCF" w:rsidRPr="009C5AAF">
        <w:rPr>
          <w:rFonts w:ascii="Calibri" w:hAnsi="Calibri" w:cs="Calibri"/>
          <w:color w:val="000000" w:themeColor="text1"/>
          <w:sz w:val="19"/>
          <w:szCs w:val="19"/>
        </w:rPr>
        <w:t xml:space="preserve">to an Alternative </w:t>
      </w:r>
      <w:r w:rsidR="00EE310C">
        <w:rPr>
          <w:rFonts w:ascii="Calibri" w:hAnsi="Calibri" w:cs="Calibri"/>
          <w:color w:val="000000" w:themeColor="text1"/>
          <w:sz w:val="19"/>
          <w:szCs w:val="19"/>
        </w:rPr>
        <w:t>F</w:t>
      </w:r>
      <w:r w:rsidR="00B40DCF" w:rsidRPr="009C5AAF">
        <w:rPr>
          <w:rFonts w:ascii="Calibri" w:hAnsi="Calibri" w:cs="Calibri"/>
          <w:color w:val="000000" w:themeColor="text1"/>
          <w:sz w:val="19"/>
          <w:szCs w:val="19"/>
        </w:rPr>
        <w:t xml:space="preserve">unding </w:t>
      </w:r>
      <w:r w:rsidR="00EE310C">
        <w:rPr>
          <w:rFonts w:ascii="Calibri" w:hAnsi="Calibri" w:cs="Calibri"/>
          <w:color w:val="000000" w:themeColor="text1"/>
          <w:sz w:val="19"/>
          <w:szCs w:val="19"/>
        </w:rPr>
        <w:t>P</w:t>
      </w:r>
      <w:r w:rsidR="00B40DCF" w:rsidRPr="009C5AAF">
        <w:rPr>
          <w:rFonts w:ascii="Calibri" w:hAnsi="Calibri" w:cs="Calibri"/>
          <w:color w:val="000000" w:themeColor="text1"/>
          <w:sz w:val="19"/>
          <w:szCs w:val="19"/>
        </w:rPr>
        <w:t xml:space="preserve">rogram (AFP) to try and obtain their OGSIVEO medication. </w:t>
      </w:r>
    </w:p>
    <w:p w14:paraId="22FD1BC0" w14:textId="77777777" w:rsidR="00B40DCF" w:rsidRPr="00342A85" w:rsidRDefault="00B40DCF" w:rsidP="00B40DCF">
      <w:pPr>
        <w:rPr>
          <w:rFonts w:ascii="Calibri" w:hAnsi="Calibri" w:cs="Calibri"/>
          <w:sz w:val="19"/>
          <w:szCs w:val="19"/>
        </w:rPr>
      </w:pPr>
    </w:p>
    <w:p w14:paraId="631E484D" w14:textId="2199D1F8" w:rsidR="00B40DCF" w:rsidRPr="00342A85" w:rsidRDefault="00B40DCF" w:rsidP="00B40DCF">
      <w:pPr>
        <w:rPr>
          <w:rFonts w:ascii="Calibri" w:hAnsi="Calibri" w:cs="Calibri"/>
          <w:sz w:val="19"/>
          <w:szCs w:val="19"/>
        </w:rPr>
      </w:pPr>
      <w:r w:rsidRPr="00342A85">
        <w:rPr>
          <w:rFonts w:ascii="Calibri" w:hAnsi="Calibri" w:cs="Calibri"/>
          <w:sz w:val="19"/>
          <w:szCs w:val="19"/>
        </w:rPr>
        <w:t xml:space="preserve">However, after applying </w:t>
      </w:r>
      <w:r w:rsidR="00342A85" w:rsidRPr="00342A85">
        <w:rPr>
          <w:rFonts w:ascii="Calibri" w:hAnsi="Calibri" w:cs="Calibri"/>
          <w:sz w:val="19"/>
          <w:szCs w:val="19"/>
        </w:rPr>
        <w:t>through th</w:t>
      </w:r>
      <w:r w:rsidR="00342A85">
        <w:rPr>
          <w:rFonts w:ascii="Calibri" w:hAnsi="Calibri" w:cs="Calibri"/>
          <w:sz w:val="19"/>
          <w:szCs w:val="19"/>
        </w:rPr>
        <w:t>e</w:t>
      </w:r>
      <w:r w:rsidRPr="00342A85">
        <w:rPr>
          <w:rFonts w:ascii="Calibri" w:hAnsi="Calibri" w:cs="Calibri"/>
          <w:sz w:val="19"/>
          <w:szCs w:val="19"/>
        </w:rPr>
        <w:t xml:space="preserve"> manufacturer</w:t>
      </w:r>
      <w:r w:rsidR="00342A85" w:rsidRPr="00342A85">
        <w:rPr>
          <w:rFonts w:ascii="Calibri" w:hAnsi="Calibri" w:cs="Calibri"/>
          <w:sz w:val="19"/>
          <w:szCs w:val="19"/>
        </w:rPr>
        <w:t>’s</w:t>
      </w:r>
      <w:r w:rsidRPr="00342A85">
        <w:rPr>
          <w:rFonts w:ascii="Calibri" w:hAnsi="Calibri" w:cs="Calibri"/>
          <w:sz w:val="19"/>
          <w:szCs w:val="19"/>
        </w:rPr>
        <w:t xml:space="preserve"> Patient Assistance Program (PAP), my patient was notified on </w:t>
      </w:r>
      <w:r w:rsidRPr="00342A85">
        <w:rPr>
          <w:rFonts w:ascii="Calibri" w:hAnsi="Calibri" w:cs="Calibri"/>
          <w:color w:val="FF40FF"/>
          <w:sz w:val="19"/>
          <w:szCs w:val="19"/>
        </w:rPr>
        <w:t xml:space="preserve">[insert date] </w:t>
      </w:r>
      <w:r w:rsidR="00342A85" w:rsidRPr="00F637D7">
        <w:rPr>
          <w:rFonts w:ascii="Calibri" w:hAnsi="Calibri" w:cs="Calibri"/>
          <w:color w:val="000000"/>
          <w:sz w:val="19"/>
          <w:szCs w:val="19"/>
        </w:rPr>
        <w:t>that they did not meet the program eligibility requirements</w:t>
      </w:r>
      <w:r w:rsidR="00342A85">
        <w:rPr>
          <w:rFonts w:ascii="Calibri" w:hAnsi="Calibri" w:cs="Calibri"/>
          <w:color w:val="000000"/>
          <w:sz w:val="19"/>
          <w:szCs w:val="19"/>
        </w:rPr>
        <w:t>,</w:t>
      </w:r>
      <w:r w:rsidR="00342A85" w:rsidRPr="00F637D7">
        <w:rPr>
          <w:rFonts w:ascii="Calibri" w:hAnsi="Calibri" w:cs="Calibri"/>
          <w:color w:val="000000"/>
          <w:sz w:val="19"/>
          <w:szCs w:val="19"/>
        </w:rPr>
        <w:t xml:space="preserve"> </w:t>
      </w:r>
      <w:r w:rsidRPr="00342A85">
        <w:rPr>
          <w:rFonts w:ascii="Calibri" w:hAnsi="Calibri" w:cs="Calibri"/>
          <w:sz w:val="19"/>
          <w:szCs w:val="19"/>
        </w:rPr>
        <w:t xml:space="preserve">and the application for PAP was denied. </w:t>
      </w:r>
      <w:r w:rsidRPr="00F637D7">
        <w:rPr>
          <w:rFonts w:ascii="Calibri" w:hAnsi="Calibri" w:cs="Calibri"/>
          <w:sz w:val="19"/>
          <w:szCs w:val="19"/>
        </w:rPr>
        <w:t xml:space="preserve">Additionally, </w:t>
      </w:r>
      <w:r w:rsidRPr="00F637D7">
        <w:rPr>
          <w:rFonts w:ascii="Calibri" w:hAnsi="Calibri" w:cs="Calibri"/>
          <w:color w:val="FF40FF"/>
          <w:sz w:val="19"/>
          <w:szCs w:val="19"/>
        </w:rPr>
        <w:t>[insert health plan name]</w:t>
      </w:r>
      <w:r w:rsidRPr="00F637D7">
        <w:rPr>
          <w:rFonts w:ascii="Calibri" w:hAnsi="Calibri" w:cs="Calibri"/>
          <w:sz w:val="19"/>
          <w:szCs w:val="19"/>
        </w:rPr>
        <w:t xml:space="preserve"> is still refusing to cover my patient’s OGSEVEO medication.</w:t>
      </w:r>
    </w:p>
    <w:p w14:paraId="1BC88A9E" w14:textId="77777777" w:rsidR="00B40DCF" w:rsidRPr="009C5AAF" w:rsidRDefault="00B40DCF" w:rsidP="00B40DCF">
      <w:pPr>
        <w:rPr>
          <w:sz w:val="19"/>
          <w:szCs w:val="19"/>
        </w:rPr>
      </w:pPr>
    </w:p>
    <w:p w14:paraId="777A7E4D" w14:textId="6EF384C3" w:rsidR="00B40DCF" w:rsidRPr="009C5AAF" w:rsidRDefault="00EE310C" w:rsidP="00B40DCF">
      <w:pPr>
        <w:rPr>
          <w:sz w:val="19"/>
          <w:szCs w:val="19"/>
        </w:rPr>
      </w:pPr>
      <w:r>
        <w:rPr>
          <w:sz w:val="19"/>
          <w:szCs w:val="19"/>
        </w:rPr>
        <w:t>Since</w:t>
      </w:r>
      <w:r w:rsidRPr="009C5AAF">
        <w:rPr>
          <w:sz w:val="19"/>
          <w:szCs w:val="19"/>
        </w:rPr>
        <w:t xml:space="preserve"> </w:t>
      </w:r>
      <w:r w:rsidR="00B40DCF" w:rsidRPr="009C5AAF">
        <w:rPr>
          <w:sz w:val="19"/>
          <w:szCs w:val="19"/>
        </w:rPr>
        <w:t>my patient is not eligible for the PAP and</w:t>
      </w:r>
      <w:r w:rsidR="00B40DCF" w:rsidRPr="009C5AAF">
        <w:rPr>
          <w:color w:val="FF40FF"/>
          <w:sz w:val="19"/>
          <w:szCs w:val="19"/>
        </w:rPr>
        <w:t xml:space="preserve"> [insert health plan name]</w:t>
      </w:r>
      <w:r w:rsidR="00B40DCF" w:rsidRPr="009C5AAF">
        <w:rPr>
          <w:sz w:val="19"/>
          <w:szCs w:val="19"/>
        </w:rPr>
        <w:t xml:space="preserve"> has denied coverage, they have no way of accessing their medication </w:t>
      </w:r>
      <w:r>
        <w:rPr>
          <w:sz w:val="19"/>
          <w:szCs w:val="19"/>
        </w:rPr>
        <w:t>and</w:t>
      </w:r>
      <w:r w:rsidR="00B40DCF" w:rsidRPr="009C5AAF">
        <w:rPr>
          <w:sz w:val="19"/>
          <w:szCs w:val="19"/>
        </w:rPr>
        <w:t xml:space="preserve"> cannot afford to pay out of pocket. Regulations at 45 CFR § 156.122(c) mandate that: </w:t>
      </w:r>
    </w:p>
    <w:p w14:paraId="314C44F0" w14:textId="77777777" w:rsidR="00B40DCF" w:rsidRPr="009C5AAF" w:rsidRDefault="00B40DCF" w:rsidP="00B40DCF">
      <w:pPr>
        <w:rPr>
          <w:sz w:val="19"/>
          <w:szCs w:val="19"/>
        </w:rPr>
      </w:pPr>
    </w:p>
    <w:p w14:paraId="55FD737E" w14:textId="77777777" w:rsidR="00B40DCF" w:rsidRPr="009C5AAF" w:rsidRDefault="00B40DCF" w:rsidP="00C22CA3">
      <w:pPr>
        <w:pStyle w:val="ListParagraph"/>
        <w:numPr>
          <w:ilvl w:val="0"/>
          <w:numId w:val="25"/>
        </w:numPr>
        <w:ind w:left="288" w:hanging="288"/>
        <w:rPr>
          <w:sz w:val="19"/>
          <w:szCs w:val="19"/>
        </w:rPr>
      </w:pPr>
      <w:r w:rsidRPr="009C5AAF">
        <w:rPr>
          <w:sz w:val="19"/>
          <w:szCs w:val="19"/>
        </w:rPr>
        <w:t>A health plan providing essential health benefits must have the following processes in place that allow an enrollee, the enrollee’s designee, or the enrollee’s prescribing physician (or other prescriber, as appropriate) to request and gain access to clinically appropriate drugs not otherwise covered by the health plan (i.e., a request for exception);</w:t>
      </w:r>
    </w:p>
    <w:p w14:paraId="77448D79" w14:textId="77777777" w:rsidR="00B40DCF" w:rsidRPr="009C5AAF" w:rsidRDefault="00B40DCF" w:rsidP="00C22CA3">
      <w:pPr>
        <w:pStyle w:val="ListParagraph"/>
        <w:numPr>
          <w:ilvl w:val="0"/>
          <w:numId w:val="26"/>
        </w:numPr>
        <w:ind w:left="288" w:hanging="288"/>
        <w:rPr>
          <w:sz w:val="19"/>
          <w:szCs w:val="19"/>
        </w:rPr>
      </w:pPr>
      <w:r w:rsidRPr="009C5AAF">
        <w:rPr>
          <w:sz w:val="19"/>
          <w:szCs w:val="19"/>
        </w:rPr>
        <w:t>In the event that an exception request is granted, the plan must treat the excepted drug(s) as an essential health benefit, including by counting any cost-sharing towards the plan’s annual limitation on cost-sharing under § 156.130 and when calculating the plan’s actuarial value under § 156.135; and</w:t>
      </w:r>
    </w:p>
    <w:p w14:paraId="1BF45FF5" w14:textId="77777777" w:rsidR="00B40DCF" w:rsidRPr="00F637D7" w:rsidRDefault="00B40DCF" w:rsidP="00C22CA3">
      <w:pPr>
        <w:pStyle w:val="ListParagraph"/>
        <w:numPr>
          <w:ilvl w:val="0"/>
          <w:numId w:val="26"/>
        </w:numPr>
        <w:ind w:left="288" w:hanging="288"/>
        <w:rPr>
          <w:rFonts w:ascii="Calibri" w:hAnsi="Calibri" w:cs="Calibri"/>
          <w:sz w:val="19"/>
          <w:szCs w:val="19"/>
        </w:rPr>
      </w:pPr>
      <w:r w:rsidRPr="009C5AAF">
        <w:rPr>
          <w:sz w:val="19"/>
          <w:szCs w:val="19"/>
        </w:rPr>
        <w:t xml:space="preserve">The health plan must respond within 72 hours and if the medication is deemed medically necessary, the plan is required to cover </w:t>
      </w:r>
      <w:r w:rsidRPr="00F637D7">
        <w:rPr>
          <w:rFonts w:ascii="Calibri" w:hAnsi="Calibri" w:cs="Calibri"/>
          <w:sz w:val="19"/>
          <w:szCs w:val="19"/>
        </w:rPr>
        <w:t>the prescription for the duration of the plan year, including refills.</w:t>
      </w:r>
    </w:p>
    <w:p w14:paraId="0911FD5E" w14:textId="77777777" w:rsidR="00B40DCF" w:rsidRPr="00342A85" w:rsidRDefault="00B40DCF" w:rsidP="00B40DCF">
      <w:pPr>
        <w:rPr>
          <w:rFonts w:ascii="Calibri" w:hAnsi="Calibri" w:cs="Calibri"/>
          <w:sz w:val="19"/>
          <w:szCs w:val="19"/>
        </w:rPr>
      </w:pPr>
      <w:r w:rsidRPr="00F637D7">
        <w:rPr>
          <w:rFonts w:ascii="Calibri" w:hAnsi="Calibri" w:cs="Calibri"/>
          <w:sz w:val="19"/>
          <w:szCs w:val="19"/>
        </w:rPr>
        <w:t xml:space="preserve"> </w:t>
      </w:r>
    </w:p>
    <w:p w14:paraId="3D7CE764" w14:textId="01CD9B4C" w:rsidR="00342A85" w:rsidRDefault="00342A85" w:rsidP="00B40DCF">
      <w:pPr>
        <w:rPr>
          <w:rFonts w:ascii="AdobeClean-Regular" w:hAnsi="AdobeClean-Regular" w:cs="AdobeClean-Regular"/>
          <w:color w:val="000000"/>
          <w:sz w:val="28"/>
          <w:szCs w:val="28"/>
        </w:rPr>
      </w:pPr>
      <w:r w:rsidRPr="00F637D7">
        <w:rPr>
          <w:rFonts w:ascii="Calibri" w:hAnsi="Calibri" w:cs="Calibri"/>
          <w:color w:val="000000"/>
          <w:sz w:val="19"/>
          <w:szCs w:val="19"/>
        </w:rPr>
        <w:t xml:space="preserve">In review of the above and the information enclosed, I believe </w:t>
      </w:r>
      <w:r w:rsidRPr="00F637D7">
        <w:rPr>
          <w:rFonts w:ascii="Calibri" w:hAnsi="Calibri" w:cs="Calibri"/>
          <w:color w:val="FF40FF"/>
          <w:sz w:val="19"/>
          <w:szCs w:val="19"/>
        </w:rPr>
        <w:t>[insert conclusion regarding medical necessity for patient and lack of alternative access to OGSIVEO].</w:t>
      </w:r>
    </w:p>
    <w:p w14:paraId="6D74D89B" w14:textId="77777777" w:rsidR="00342A85" w:rsidRPr="009C5AAF" w:rsidRDefault="00342A85" w:rsidP="00B40DCF">
      <w:pPr>
        <w:rPr>
          <w:sz w:val="19"/>
          <w:szCs w:val="19"/>
        </w:rPr>
      </w:pPr>
    </w:p>
    <w:p w14:paraId="2E8F39D0" w14:textId="77777777" w:rsidR="00B40DCF" w:rsidRPr="009C5AAF" w:rsidRDefault="00B40DCF" w:rsidP="00B40DCF">
      <w:pPr>
        <w:rPr>
          <w:sz w:val="19"/>
          <w:szCs w:val="19"/>
        </w:rPr>
      </w:pPr>
      <w:r w:rsidRPr="009C5AAF">
        <w:rPr>
          <w:sz w:val="19"/>
          <w:szCs w:val="19"/>
        </w:rPr>
        <w:t xml:space="preserve">Sincerely, </w:t>
      </w:r>
    </w:p>
    <w:p w14:paraId="47A9B3E2" w14:textId="77777777" w:rsidR="00B40DCF" w:rsidRPr="009C5AAF" w:rsidRDefault="00B40DCF" w:rsidP="00B40DCF">
      <w:pPr>
        <w:rPr>
          <w:sz w:val="19"/>
          <w:szCs w:val="19"/>
        </w:rPr>
      </w:pPr>
    </w:p>
    <w:p w14:paraId="5466BE57" w14:textId="77777777" w:rsidR="00B40DCF" w:rsidRPr="009C5AAF" w:rsidRDefault="00B40DCF" w:rsidP="00B40DCF">
      <w:pPr>
        <w:rPr>
          <w:color w:val="FD2ED8"/>
          <w:sz w:val="19"/>
          <w:szCs w:val="19"/>
        </w:rPr>
      </w:pPr>
      <w:r w:rsidRPr="009C5AAF">
        <w:rPr>
          <w:color w:val="FD2ED8"/>
          <w:sz w:val="19"/>
          <w:szCs w:val="19"/>
        </w:rPr>
        <w:t>[Insert physician’s name]</w:t>
      </w:r>
    </w:p>
    <w:p w14:paraId="04A0F643" w14:textId="77777777" w:rsidR="00B40DCF" w:rsidRPr="009C5AAF" w:rsidRDefault="00B40DCF" w:rsidP="00B40DCF">
      <w:pPr>
        <w:rPr>
          <w:color w:val="FD2ED8"/>
          <w:sz w:val="19"/>
          <w:szCs w:val="19"/>
        </w:rPr>
      </w:pPr>
    </w:p>
    <w:p w14:paraId="2E1415F9" w14:textId="5E43CC41" w:rsidR="00B40DCF" w:rsidRPr="00F637D7" w:rsidRDefault="00B40DCF" w:rsidP="00C22CA3">
      <w:pPr>
        <w:pStyle w:val="ListParagraph"/>
        <w:numPr>
          <w:ilvl w:val="0"/>
          <w:numId w:val="2"/>
        </w:numPr>
        <w:ind w:left="288" w:hanging="288"/>
        <w:rPr>
          <w:rFonts w:ascii="Calibri" w:hAnsi="Calibri" w:cs="Calibri"/>
          <w:color w:val="FF40FF"/>
          <w:sz w:val="19"/>
          <w:szCs w:val="19"/>
        </w:rPr>
      </w:pPr>
      <w:r w:rsidRPr="009C5AAF">
        <w:rPr>
          <w:color w:val="000000" w:themeColor="text1"/>
          <w:sz w:val="19"/>
          <w:szCs w:val="19"/>
        </w:rPr>
        <w:t>Enclosures:</w:t>
      </w:r>
      <w:r w:rsidRPr="00F637D7">
        <w:rPr>
          <w:rFonts w:ascii="Calibri" w:hAnsi="Calibri" w:cs="Calibri"/>
          <w:color w:val="FF40FF"/>
          <w:sz w:val="19"/>
          <w:szCs w:val="19"/>
        </w:rPr>
        <w:t xml:space="preserve"> [</w:t>
      </w:r>
      <w:r w:rsidR="00A04F36">
        <w:rPr>
          <w:rFonts w:ascii="Calibri" w:hAnsi="Calibri" w:cs="Calibri"/>
          <w:color w:val="FF40FF"/>
          <w:sz w:val="19"/>
          <w:szCs w:val="19"/>
        </w:rPr>
        <w:t>cl</w:t>
      </w:r>
      <w:r w:rsidR="00342A85" w:rsidRPr="00F637D7">
        <w:rPr>
          <w:rFonts w:ascii="Calibri" w:hAnsi="Calibri" w:cs="Calibri"/>
          <w:color w:val="FF40FF"/>
          <w:sz w:val="19"/>
          <w:szCs w:val="19"/>
        </w:rPr>
        <w:t>inical documentation, medical literature, patient coverage denial letter, patient PAP denial letter</w:t>
      </w:r>
      <w:r w:rsidRPr="00F637D7">
        <w:rPr>
          <w:rFonts w:ascii="Calibri" w:hAnsi="Calibri" w:cs="Calibri"/>
          <w:color w:val="FF40FF"/>
          <w:sz w:val="19"/>
          <w:szCs w:val="19"/>
        </w:rPr>
        <w:t>]</w:t>
      </w:r>
    </w:p>
    <w:p w14:paraId="4C04FA1F" w14:textId="531382D6" w:rsidR="006B44BA" w:rsidRPr="000E5A3F" w:rsidRDefault="006B44BA" w:rsidP="0037761C">
      <w:pPr>
        <w:autoSpaceDE w:val="0"/>
        <w:autoSpaceDN w:val="0"/>
        <w:adjustRightInd w:val="0"/>
        <w:rPr>
          <w:rFonts w:ascii="Calibri" w:hAnsi="Calibri" w:cs="Calibri"/>
          <w:color w:val="000000" w:themeColor="text1"/>
          <w:sz w:val="20"/>
          <w:szCs w:val="20"/>
        </w:rPr>
        <w:sectPr w:rsidR="006B44BA" w:rsidRPr="000E5A3F" w:rsidSect="00922E82">
          <w:pgSz w:w="12240" w:h="15840"/>
          <w:pgMar w:top="864" w:right="864" w:bottom="864" w:left="864" w:header="720" w:footer="720" w:gutter="0"/>
          <w:cols w:space="720"/>
          <w:docGrid w:linePitch="360"/>
        </w:sectPr>
      </w:pPr>
    </w:p>
    <w:p w14:paraId="11053006" w14:textId="77777777" w:rsidR="00B40DCF" w:rsidRPr="00D06A29" w:rsidRDefault="00B40DCF" w:rsidP="00B40DCF">
      <w:pPr>
        <w:rPr>
          <w:rFonts w:ascii="Calibri" w:hAnsi="Calibri" w:cs="Calibri"/>
          <w:b/>
          <w:bCs/>
          <w:sz w:val="19"/>
          <w:szCs w:val="19"/>
        </w:rPr>
      </w:pPr>
      <w:r w:rsidRPr="00D06A29">
        <w:rPr>
          <w:rFonts w:ascii="Calibri" w:hAnsi="Calibri" w:cs="Calibri"/>
          <w:b/>
          <w:bCs/>
          <w:sz w:val="19"/>
          <w:szCs w:val="19"/>
        </w:rPr>
        <w:lastRenderedPageBreak/>
        <w:t>Indication</w:t>
      </w:r>
    </w:p>
    <w:p w14:paraId="0F102143" w14:textId="77777777" w:rsidR="00B40DCF" w:rsidRPr="00D06A29" w:rsidRDefault="00B40DCF" w:rsidP="00B40DCF">
      <w:pPr>
        <w:rPr>
          <w:rFonts w:ascii="Calibri" w:hAnsi="Calibri" w:cs="Calibri"/>
          <w:sz w:val="19"/>
          <w:szCs w:val="19"/>
        </w:rPr>
      </w:pPr>
      <w:r w:rsidRPr="00D06A29">
        <w:rPr>
          <w:rFonts w:ascii="Calibri" w:hAnsi="Calibri" w:cs="Calibri"/>
          <w:sz w:val="19"/>
          <w:szCs w:val="19"/>
        </w:rPr>
        <w:t>OGSIVEO is indicated for adult patients with progressing desmoid tumors who require systemic treatment.</w:t>
      </w:r>
    </w:p>
    <w:p w14:paraId="78D8BAF6" w14:textId="77777777" w:rsidR="00B40DCF" w:rsidRPr="00D06A29" w:rsidRDefault="00B40DCF" w:rsidP="00B40DCF">
      <w:pPr>
        <w:spacing w:after="120"/>
        <w:rPr>
          <w:rFonts w:ascii="Calibri" w:hAnsi="Calibri" w:cs="Calibri"/>
          <w:b/>
          <w:bCs/>
          <w:sz w:val="19"/>
          <w:szCs w:val="19"/>
        </w:rPr>
      </w:pPr>
      <w:r w:rsidRPr="00D06A29">
        <w:rPr>
          <w:rFonts w:ascii="Calibri" w:hAnsi="Calibri" w:cs="Calibri"/>
          <w:b/>
          <w:bCs/>
          <w:sz w:val="19"/>
          <w:szCs w:val="19"/>
        </w:rPr>
        <w:t>IMPORTANT SAFETY INFORMATION</w:t>
      </w:r>
    </w:p>
    <w:p w14:paraId="2D897557" w14:textId="77777777" w:rsidR="00B40DCF" w:rsidRPr="00D06A29" w:rsidRDefault="00B40DCF" w:rsidP="00B40DCF">
      <w:pPr>
        <w:spacing w:after="100"/>
        <w:rPr>
          <w:rFonts w:ascii="Calibri" w:hAnsi="Calibri" w:cs="Calibri"/>
          <w:b/>
          <w:bCs/>
          <w:sz w:val="19"/>
          <w:szCs w:val="19"/>
        </w:rPr>
      </w:pPr>
      <w:r w:rsidRPr="00D06A29">
        <w:rPr>
          <w:rFonts w:ascii="Calibri" w:hAnsi="Calibri" w:cs="Calibri"/>
          <w:b/>
          <w:bCs/>
          <w:sz w:val="19"/>
          <w:szCs w:val="19"/>
        </w:rPr>
        <w:t>WARNINGS AND PRECAUTIONS</w:t>
      </w:r>
    </w:p>
    <w:p w14:paraId="0D675BC2" w14:textId="77777777" w:rsidR="00B40DCF" w:rsidRPr="00D06A29" w:rsidRDefault="00B40DCF" w:rsidP="00C22CA3">
      <w:pPr>
        <w:pStyle w:val="ListParagraph"/>
        <w:numPr>
          <w:ilvl w:val="0"/>
          <w:numId w:val="7"/>
        </w:numPr>
        <w:suppressAutoHyphens/>
        <w:autoSpaceDN w:val="0"/>
        <w:spacing w:after="100"/>
        <w:ind w:left="288" w:hanging="288"/>
        <w:contextualSpacing w:val="0"/>
        <w:rPr>
          <w:rFonts w:ascii="Calibri" w:hAnsi="Calibri" w:cs="Calibri"/>
          <w:b/>
          <w:bCs/>
          <w:sz w:val="19"/>
          <w:szCs w:val="19"/>
        </w:rPr>
      </w:pPr>
      <w:r w:rsidRPr="00D06A29">
        <w:rPr>
          <w:rFonts w:ascii="Calibri" w:hAnsi="Calibri" w:cs="Calibri"/>
          <w:b/>
          <w:bCs/>
          <w:sz w:val="19"/>
          <w:szCs w:val="19"/>
        </w:rPr>
        <w:t xml:space="preserve">Diarrhea: </w:t>
      </w:r>
      <w:r w:rsidRPr="00D06A29">
        <w:rPr>
          <w:rFonts w:ascii="Calibri" w:hAnsi="Calibri" w:cs="Calibri"/>
          <w:sz w:val="19"/>
          <w:szCs w:val="19"/>
        </w:rPr>
        <w:t xml:space="preserve">Diarrhea, sometimes severe, can occur in patients treated with OGSIVEO. Diarrhea occurred in 84% of patients treated with OGSIVEO, and included Grade 3 events in 16% of patients. Median time to first diarrhea event was 9 days (range: 2 to 434 days). Monitor patients and manage using antidiarrheal medications. Modify dose as recommended. </w:t>
      </w:r>
    </w:p>
    <w:p w14:paraId="5137CA16" w14:textId="77777777" w:rsidR="00B40DCF" w:rsidRPr="00D06A29" w:rsidRDefault="00B40DCF" w:rsidP="00C22CA3">
      <w:pPr>
        <w:pStyle w:val="ListParagraph"/>
        <w:numPr>
          <w:ilvl w:val="0"/>
          <w:numId w:val="7"/>
        </w:numPr>
        <w:suppressAutoHyphens/>
        <w:autoSpaceDN w:val="0"/>
        <w:spacing w:after="100"/>
        <w:ind w:left="288" w:hanging="288"/>
        <w:contextualSpacing w:val="0"/>
        <w:rPr>
          <w:rFonts w:ascii="Calibri" w:hAnsi="Calibri" w:cs="Calibri"/>
          <w:b/>
          <w:bCs/>
          <w:sz w:val="19"/>
          <w:szCs w:val="19"/>
        </w:rPr>
      </w:pPr>
      <w:r w:rsidRPr="00D06A29">
        <w:rPr>
          <w:rFonts w:ascii="Calibri" w:hAnsi="Calibri" w:cs="Calibri"/>
          <w:b/>
          <w:bCs/>
          <w:sz w:val="19"/>
          <w:szCs w:val="19"/>
        </w:rPr>
        <w:t xml:space="preserve">Ovarian Toxicity: </w:t>
      </w:r>
      <w:r w:rsidRPr="00D06A29">
        <w:rPr>
          <w:rFonts w:ascii="Calibri" w:hAnsi="Calibri" w:cs="Calibri"/>
          <w:sz w:val="19"/>
          <w:szCs w:val="19"/>
        </w:rPr>
        <w:t xml:space="preserve">Female reproductive function and fertility may be impaired in patients treated with OGSIVEO. Impact on fertility may depend on factors like duration of therapy and state of gonadal function at time of treatment. Long-term effects of OGSIVEO on fertility have not been established. Advise patients on the potential risks for ovarian toxicity before initiating treatment. Monitor patients for changes in menstrual cycle regularity or the development of symptoms of estrogen deficiency, including hot flashes, night sweats, and vaginal dryness. </w:t>
      </w:r>
    </w:p>
    <w:p w14:paraId="64509910" w14:textId="77777777" w:rsidR="00B40DCF" w:rsidRPr="00D06A29" w:rsidRDefault="00B40DCF" w:rsidP="00C22CA3">
      <w:pPr>
        <w:pStyle w:val="ListParagraph"/>
        <w:numPr>
          <w:ilvl w:val="0"/>
          <w:numId w:val="7"/>
        </w:numPr>
        <w:suppressAutoHyphens/>
        <w:autoSpaceDN w:val="0"/>
        <w:spacing w:after="100"/>
        <w:ind w:left="288" w:hanging="288"/>
        <w:contextualSpacing w:val="0"/>
        <w:rPr>
          <w:rFonts w:ascii="Calibri" w:hAnsi="Calibri" w:cs="Calibri"/>
          <w:b/>
          <w:bCs/>
          <w:sz w:val="19"/>
          <w:szCs w:val="19"/>
        </w:rPr>
      </w:pPr>
      <w:r w:rsidRPr="00D06A29">
        <w:rPr>
          <w:rFonts w:ascii="Calibri" w:hAnsi="Calibri" w:cs="Calibri"/>
          <w:b/>
          <w:bCs/>
          <w:sz w:val="19"/>
          <w:szCs w:val="19"/>
        </w:rPr>
        <w:t xml:space="preserve">Hepatotoxicity: </w:t>
      </w:r>
      <w:r w:rsidRPr="00D06A29">
        <w:rPr>
          <w:rFonts w:ascii="Calibri" w:hAnsi="Calibri" w:cs="Calibri"/>
          <w:sz w:val="19"/>
          <w:szCs w:val="19"/>
        </w:rPr>
        <w:t xml:space="preserve">ALT or AST elevations occurred in 30% and 33% of patients, respectively. Grade 3 ALT or AST elevations (&gt;5 × ULN) occurred in 6% and 2.9% of patients. Monitor liver function tests regularly and modify dose as recommended. </w:t>
      </w:r>
    </w:p>
    <w:p w14:paraId="030CEA4F" w14:textId="77777777" w:rsidR="00B40DCF" w:rsidRPr="00D06A29" w:rsidRDefault="00B40DCF" w:rsidP="00C22CA3">
      <w:pPr>
        <w:pStyle w:val="ListParagraph"/>
        <w:numPr>
          <w:ilvl w:val="0"/>
          <w:numId w:val="7"/>
        </w:numPr>
        <w:suppressAutoHyphens/>
        <w:autoSpaceDN w:val="0"/>
        <w:spacing w:after="100"/>
        <w:ind w:left="288" w:hanging="288"/>
        <w:contextualSpacing w:val="0"/>
        <w:rPr>
          <w:rFonts w:ascii="Calibri" w:hAnsi="Calibri" w:cs="Calibri"/>
          <w:b/>
          <w:bCs/>
          <w:sz w:val="19"/>
          <w:szCs w:val="19"/>
        </w:rPr>
      </w:pPr>
      <w:r w:rsidRPr="00D06A29">
        <w:rPr>
          <w:rFonts w:ascii="Calibri" w:hAnsi="Calibri" w:cs="Calibri"/>
          <w:b/>
          <w:bCs/>
          <w:sz w:val="19"/>
          <w:szCs w:val="19"/>
        </w:rPr>
        <w:t>Non-Melanoma Skin Cancers:</w:t>
      </w:r>
      <w:r w:rsidRPr="00D06A29">
        <w:rPr>
          <w:rFonts w:ascii="Calibri" w:hAnsi="Calibri" w:cs="Calibri"/>
          <w:sz w:val="19"/>
          <w:szCs w:val="19"/>
        </w:rPr>
        <w:t xml:space="preserve"> New cutaneous squamous cell carcinoma and basal cell carcinoma occurred in 2.9% and 1.4% of patients, respectively. Perform dermatologic evaluations prior to initiation of OGSIVEO and routinely during treatment.</w:t>
      </w:r>
    </w:p>
    <w:p w14:paraId="218596F8" w14:textId="77777777" w:rsidR="00B40DCF" w:rsidRPr="00D06A29" w:rsidRDefault="00B40DCF" w:rsidP="00C22CA3">
      <w:pPr>
        <w:pStyle w:val="ListParagraph"/>
        <w:numPr>
          <w:ilvl w:val="0"/>
          <w:numId w:val="7"/>
        </w:numPr>
        <w:suppressAutoHyphens/>
        <w:autoSpaceDN w:val="0"/>
        <w:spacing w:after="100"/>
        <w:ind w:left="288" w:hanging="288"/>
        <w:contextualSpacing w:val="0"/>
        <w:rPr>
          <w:rFonts w:ascii="Calibri" w:hAnsi="Calibri" w:cs="Calibri"/>
          <w:b/>
          <w:bCs/>
          <w:sz w:val="19"/>
          <w:szCs w:val="19"/>
        </w:rPr>
      </w:pPr>
      <w:r w:rsidRPr="00D06A29">
        <w:rPr>
          <w:rFonts w:ascii="Calibri" w:hAnsi="Calibri" w:cs="Calibri"/>
          <w:b/>
          <w:bCs/>
          <w:sz w:val="19"/>
          <w:szCs w:val="19"/>
        </w:rPr>
        <w:t>Electrolyte Abnormalities:</w:t>
      </w:r>
      <w:r w:rsidRPr="00D06A29">
        <w:rPr>
          <w:rFonts w:ascii="Calibri" w:hAnsi="Calibri" w:cs="Calibri"/>
          <w:sz w:val="19"/>
          <w:szCs w:val="19"/>
        </w:rPr>
        <w:t xml:space="preserve"> Decreased phosphate (65%) and potassium (22%) occurred in OGSIVEO-treated patients. Phosphate &lt;2 mg/dL occurred in 20% of patients. Grade 3 decreased potassium occurred in 1.4% of patients. Monitor phosphate and potassium levels regularly and supplement as necessary. Modify dose as recommended.</w:t>
      </w:r>
    </w:p>
    <w:p w14:paraId="1CFD5967" w14:textId="77777777" w:rsidR="00B40DCF" w:rsidRPr="00D06A29" w:rsidRDefault="00B40DCF" w:rsidP="00C22CA3">
      <w:pPr>
        <w:pStyle w:val="ListParagraph"/>
        <w:numPr>
          <w:ilvl w:val="0"/>
          <w:numId w:val="7"/>
        </w:numPr>
        <w:suppressAutoHyphens/>
        <w:autoSpaceDN w:val="0"/>
        <w:spacing w:after="120"/>
        <w:ind w:left="288" w:hanging="288"/>
        <w:contextualSpacing w:val="0"/>
        <w:rPr>
          <w:rFonts w:ascii="Calibri" w:hAnsi="Calibri" w:cs="Calibri"/>
          <w:b/>
          <w:bCs/>
          <w:sz w:val="19"/>
          <w:szCs w:val="19"/>
        </w:rPr>
      </w:pPr>
      <w:r w:rsidRPr="00D06A29">
        <w:rPr>
          <w:rFonts w:ascii="Calibri" w:hAnsi="Calibri" w:cs="Calibri"/>
          <w:b/>
          <w:bCs/>
          <w:sz w:val="19"/>
          <w:szCs w:val="19"/>
        </w:rPr>
        <w:t xml:space="preserve">Embryo-Fetal Toxicity: </w:t>
      </w:r>
      <w:r w:rsidRPr="00D06A29">
        <w:rPr>
          <w:rFonts w:ascii="Calibri" w:hAnsi="Calibri" w:cs="Calibri"/>
          <w:sz w:val="19"/>
          <w:szCs w:val="19"/>
        </w:rPr>
        <w:t xml:space="preserve">OGSIVEO can cause fetal harm when administered to pregnant women. Oral administration of nirogacestat to pregnant rats during the period of organogenesis resulted in embryo-fetal toxicity and death at maternal exposures below human exposure at the recommended dose of 150 mg twice daily. Advise pregnant women of the potential risk to a fetus. Advise females and males of reproductive potential to use effective contraception during treatment with OGSIVEO and for 1 week after the last dose. </w:t>
      </w:r>
    </w:p>
    <w:p w14:paraId="3E5B7C77" w14:textId="77777777" w:rsidR="00B40DCF" w:rsidRPr="00D06A29" w:rsidRDefault="00B40DCF" w:rsidP="00B40DCF">
      <w:pPr>
        <w:spacing w:after="120"/>
        <w:rPr>
          <w:rFonts w:ascii="Calibri" w:hAnsi="Calibri" w:cs="Calibri"/>
          <w:b/>
          <w:bCs/>
          <w:sz w:val="19"/>
          <w:szCs w:val="19"/>
        </w:rPr>
      </w:pPr>
      <w:r w:rsidRPr="00D06A29">
        <w:rPr>
          <w:rFonts w:ascii="Calibri" w:hAnsi="Calibri" w:cs="Calibri"/>
          <w:b/>
          <w:bCs/>
          <w:sz w:val="19"/>
          <w:szCs w:val="19"/>
        </w:rPr>
        <w:t>ADVERSE REACTIONS</w:t>
      </w:r>
    </w:p>
    <w:p w14:paraId="56C2B5F9" w14:textId="77777777" w:rsidR="00B40DCF" w:rsidRPr="00D06A29" w:rsidRDefault="00B40DCF" w:rsidP="00B40DCF">
      <w:pPr>
        <w:pStyle w:val="ListParagraph"/>
        <w:numPr>
          <w:ilvl w:val="0"/>
          <w:numId w:val="8"/>
        </w:numPr>
        <w:suppressAutoHyphens/>
        <w:autoSpaceDN w:val="0"/>
        <w:spacing w:after="100"/>
        <w:ind w:left="288" w:hanging="288"/>
        <w:contextualSpacing w:val="0"/>
        <w:rPr>
          <w:rFonts w:ascii="Calibri" w:hAnsi="Calibri" w:cs="Calibri"/>
          <w:sz w:val="19"/>
          <w:szCs w:val="19"/>
        </w:rPr>
      </w:pPr>
      <w:r w:rsidRPr="00D06A29">
        <w:rPr>
          <w:rFonts w:ascii="Calibri" w:hAnsi="Calibri" w:cs="Calibri"/>
          <w:sz w:val="19"/>
          <w:szCs w:val="19"/>
        </w:rPr>
        <w:t>The most common (≥15%) adverse reactions were diarrhea (84%), ovarian toxicity (75% in the 36 females of reproductive potential), rash (68%), nausea (54%), fatigue (54%), stomatitis (39%), headache (30%), abdominal pain (22%), cough (20%), alopecia (19%), upper respiratory tract infection (17%), and dyspnea (16%).</w:t>
      </w:r>
    </w:p>
    <w:p w14:paraId="06CBFC02" w14:textId="77777777" w:rsidR="00B40DCF" w:rsidRPr="00D06A29" w:rsidRDefault="00B40DCF" w:rsidP="00B40DCF">
      <w:pPr>
        <w:pStyle w:val="ListParagraph"/>
        <w:numPr>
          <w:ilvl w:val="0"/>
          <w:numId w:val="8"/>
        </w:numPr>
        <w:suppressAutoHyphens/>
        <w:autoSpaceDN w:val="0"/>
        <w:spacing w:after="100"/>
        <w:ind w:left="288" w:hanging="288"/>
        <w:contextualSpacing w:val="0"/>
        <w:rPr>
          <w:rFonts w:ascii="Calibri" w:hAnsi="Calibri" w:cs="Calibri"/>
          <w:sz w:val="19"/>
          <w:szCs w:val="19"/>
        </w:rPr>
      </w:pPr>
      <w:r w:rsidRPr="00D06A29">
        <w:rPr>
          <w:rFonts w:ascii="Calibri" w:hAnsi="Calibri" w:cs="Calibri"/>
          <w:sz w:val="19"/>
          <w:szCs w:val="19"/>
        </w:rPr>
        <w:t>Serious adverse reactions occurred in 20% of patients who received OGSIVEO. Serious adverse reactions occurring in ≥2% of patients were ovarian toxicity (4%).</w:t>
      </w:r>
    </w:p>
    <w:p w14:paraId="5A8F9771" w14:textId="77777777" w:rsidR="00B40DCF" w:rsidRPr="00D06A29" w:rsidRDefault="00B40DCF" w:rsidP="00B40DCF">
      <w:pPr>
        <w:pStyle w:val="ListParagraph"/>
        <w:numPr>
          <w:ilvl w:val="0"/>
          <w:numId w:val="8"/>
        </w:numPr>
        <w:suppressAutoHyphens/>
        <w:autoSpaceDN w:val="0"/>
        <w:spacing w:after="120"/>
        <w:ind w:left="288" w:hanging="288"/>
        <w:contextualSpacing w:val="0"/>
        <w:rPr>
          <w:rFonts w:ascii="Calibri" w:hAnsi="Calibri" w:cs="Calibri"/>
          <w:sz w:val="19"/>
          <w:szCs w:val="19"/>
        </w:rPr>
      </w:pPr>
      <w:r w:rsidRPr="00D06A29">
        <w:rPr>
          <w:rFonts w:ascii="Calibri" w:hAnsi="Calibri" w:cs="Calibri"/>
          <w:sz w:val="19"/>
          <w:szCs w:val="19"/>
        </w:rPr>
        <w:t>The most common laboratory abnormalities (≥15%) were decreased phosphate, increased urine glucose, increased urine protein, increased AST, increased ALT, and decreased potassium.</w:t>
      </w:r>
    </w:p>
    <w:p w14:paraId="51B1A52A" w14:textId="77777777" w:rsidR="00B40DCF" w:rsidRPr="00D06A29" w:rsidRDefault="00B40DCF" w:rsidP="00B40DCF">
      <w:pPr>
        <w:spacing w:after="120"/>
        <w:rPr>
          <w:rFonts w:ascii="Calibri" w:hAnsi="Calibri" w:cs="Calibri"/>
          <w:b/>
          <w:bCs/>
          <w:sz w:val="19"/>
          <w:szCs w:val="19"/>
        </w:rPr>
      </w:pPr>
      <w:r w:rsidRPr="00D06A29">
        <w:rPr>
          <w:rFonts w:ascii="Calibri" w:hAnsi="Calibri" w:cs="Calibri"/>
          <w:b/>
          <w:bCs/>
          <w:sz w:val="19"/>
          <w:szCs w:val="19"/>
        </w:rPr>
        <w:t>DRUG INTERACTIONS</w:t>
      </w:r>
    </w:p>
    <w:p w14:paraId="271A114E" w14:textId="77777777" w:rsidR="00B40DCF" w:rsidRPr="00D06A29" w:rsidRDefault="00B40DCF" w:rsidP="00B40DCF">
      <w:pPr>
        <w:pStyle w:val="ListParagraph"/>
        <w:numPr>
          <w:ilvl w:val="0"/>
          <w:numId w:val="9"/>
        </w:numPr>
        <w:suppressAutoHyphens/>
        <w:autoSpaceDN w:val="0"/>
        <w:spacing w:after="100"/>
        <w:ind w:left="274" w:hanging="288"/>
        <w:contextualSpacing w:val="0"/>
        <w:rPr>
          <w:rFonts w:ascii="Calibri" w:hAnsi="Calibri" w:cs="Calibri"/>
          <w:sz w:val="19"/>
          <w:szCs w:val="19"/>
        </w:rPr>
      </w:pPr>
      <w:r w:rsidRPr="00D06A29">
        <w:rPr>
          <w:rFonts w:ascii="Calibri" w:hAnsi="Calibri" w:cs="Calibri"/>
          <w:b/>
          <w:bCs/>
          <w:sz w:val="19"/>
          <w:szCs w:val="19"/>
        </w:rPr>
        <w:t xml:space="preserve">CYP3A Inhibitors and Inducers: </w:t>
      </w:r>
      <w:r w:rsidRPr="00D06A29">
        <w:rPr>
          <w:rFonts w:ascii="Calibri" w:hAnsi="Calibri" w:cs="Calibri"/>
          <w:sz w:val="19"/>
          <w:szCs w:val="19"/>
        </w:rPr>
        <w:t xml:space="preserve">Avoid concomitant use with strong or moderate CYP3A inhibitors (including grapefruit products, Seville oranges, and starfruit) and strong or moderate CYP3A inducers. </w:t>
      </w:r>
    </w:p>
    <w:p w14:paraId="2E169708" w14:textId="77777777" w:rsidR="00B40DCF" w:rsidRPr="00D06A29" w:rsidRDefault="00B40DCF" w:rsidP="00B40DCF">
      <w:pPr>
        <w:pStyle w:val="ListParagraph"/>
        <w:numPr>
          <w:ilvl w:val="0"/>
          <w:numId w:val="9"/>
        </w:numPr>
        <w:suppressAutoHyphens/>
        <w:autoSpaceDN w:val="0"/>
        <w:spacing w:after="100"/>
        <w:ind w:left="274" w:hanging="288"/>
        <w:contextualSpacing w:val="0"/>
        <w:rPr>
          <w:rFonts w:ascii="Calibri" w:hAnsi="Calibri" w:cs="Calibri"/>
          <w:sz w:val="19"/>
          <w:szCs w:val="19"/>
        </w:rPr>
      </w:pPr>
      <w:r w:rsidRPr="00D06A29">
        <w:rPr>
          <w:rFonts w:ascii="Calibri" w:hAnsi="Calibri" w:cs="Calibri"/>
          <w:b/>
          <w:bCs/>
          <w:sz w:val="19"/>
          <w:szCs w:val="19"/>
        </w:rPr>
        <w:t>Gastric Acid Reducing Agents:</w:t>
      </w:r>
      <w:r w:rsidRPr="00D06A29">
        <w:rPr>
          <w:rFonts w:ascii="Calibri" w:hAnsi="Calibri" w:cs="Calibri"/>
          <w:sz w:val="19"/>
          <w:szCs w:val="19"/>
        </w:rPr>
        <w:t xml:space="preserve"> Avoid concomitant use with proton pump inhibitors and H2 blockers. If concomitant use cannot be avoided, OGSIVEO can be staggered with antacids (e.g., administer OGSIVEO 2 hours before or 2 hours after antacid use). </w:t>
      </w:r>
    </w:p>
    <w:p w14:paraId="33ACE280" w14:textId="77777777" w:rsidR="00B40DCF" w:rsidRPr="00D06A29" w:rsidRDefault="00B40DCF" w:rsidP="00B40DCF">
      <w:pPr>
        <w:pStyle w:val="ListParagraph"/>
        <w:numPr>
          <w:ilvl w:val="0"/>
          <w:numId w:val="9"/>
        </w:numPr>
        <w:suppressAutoHyphens/>
        <w:autoSpaceDN w:val="0"/>
        <w:spacing w:after="120"/>
        <w:ind w:left="274" w:hanging="288"/>
        <w:rPr>
          <w:rFonts w:ascii="Calibri" w:hAnsi="Calibri" w:cs="Calibri"/>
          <w:sz w:val="19"/>
          <w:szCs w:val="19"/>
        </w:rPr>
      </w:pPr>
      <w:r w:rsidRPr="00D06A29">
        <w:rPr>
          <w:rFonts w:ascii="Calibri" w:eastAsia="Arial" w:hAnsi="Calibri" w:cs="Calibri"/>
          <w:sz w:val="19"/>
          <w:szCs w:val="19"/>
        </w:rPr>
        <w:t>Consult the full Prescribing Information prior to and during treatment for important drug interactions.</w:t>
      </w:r>
    </w:p>
    <w:p w14:paraId="0A7A251D" w14:textId="77777777" w:rsidR="00B40DCF" w:rsidRPr="00D06A29" w:rsidRDefault="00B40DCF" w:rsidP="00B40DCF">
      <w:pPr>
        <w:spacing w:after="120"/>
        <w:ind w:left="-14"/>
        <w:rPr>
          <w:rFonts w:ascii="Calibri" w:hAnsi="Calibri" w:cs="Calibri"/>
          <w:b/>
          <w:bCs/>
          <w:sz w:val="19"/>
          <w:szCs w:val="19"/>
        </w:rPr>
      </w:pPr>
      <w:r w:rsidRPr="00D06A29">
        <w:rPr>
          <w:rFonts w:ascii="Calibri" w:hAnsi="Calibri" w:cs="Calibri"/>
          <w:b/>
          <w:bCs/>
          <w:sz w:val="19"/>
          <w:szCs w:val="19"/>
        </w:rPr>
        <w:t>USE IN SPECIFIC POPULATIONS</w:t>
      </w:r>
    </w:p>
    <w:p w14:paraId="0AEE907F" w14:textId="77777777" w:rsidR="00B40DCF" w:rsidRDefault="00B40DCF" w:rsidP="00B40DCF">
      <w:pPr>
        <w:pStyle w:val="ListParagraph"/>
        <w:numPr>
          <w:ilvl w:val="0"/>
          <w:numId w:val="27"/>
        </w:numPr>
        <w:suppressAutoHyphens/>
        <w:autoSpaceDN w:val="0"/>
        <w:spacing w:after="120"/>
        <w:ind w:left="270" w:hanging="256"/>
        <w:rPr>
          <w:rFonts w:ascii="Calibri" w:hAnsi="Calibri" w:cs="Calibri"/>
          <w:sz w:val="19"/>
          <w:szCs w:val="19"/>
        </w:rPr>
      </w:pPr>
      <w:r w:rsidRPr="00D06A29">
        <w:rPr>
          <w:rFonts w:ascii="Calibri" w:hAnsi="Calibri" w:cs="Calibri"/>
          <w:sz w:val="19"/>
          <w:szCs w:val="19"/>
        </w:rPr>
        <w:t>Because of the potential for serious adverse reactions in breastfed children, advise women not to breastfeed during treatment with OGSIVEO and for 1 week after the last dose.</w:t>
      </w:r>
    </w:p>
    <w:p w14:paraId="1AC71803" w14:textId="77777777" w:rsidR="00B40DCF" w:rsidRDefault="00B40DCF" w:rsidP="00B40DCF">
      <w:pPr>
        <w:pStyle w:val="ListParagraph"/>
        <w:suppressAutoHyphens/>
        <w:autoSpaceDN w:val="0"/>
        <w:ind w:left="274"/>
        <w:rPr>
          <w:rFonts w:ascii="Calibri" w:hAnsi="Calibri" w:cs="Calibri"/>
          <w:sz w:val="19"/>
          <w:szCs w:val="19"/>
        </w:rPr>
      </w:pPr>
    </w:p>
    <w:p w14:paraId="724B7859" w14:textId="77777777" w:rsidR="00B40DCF" w:rsidRPr="00D06A29" w:rsidRDefault="00B40DCF" w:rsidP="00B40DCF">
      <w:pPr>
        <w:pStyle w:val="ListParagraph"/>
        <w:suppressAutoHyphens/>
        <w:autoSpaceDN w:val="0"/>
        <w:ind w:left="274"/>
        <w:rPr>
          <w:rFonts w:ascii="Calibri" w:hAnsi="Calibri" w:cs="Calibri"/>
          <w:sz w:val="19"/>
          <w:szCs w:val="19"/>
        </w:rPr>
      </w:pPr>
    </w:p>
    <w:p w14:paraId="61CE2DAC" w14:textId="30CAACD6" w:rsidR="00B40DCF" w:rsidRDefault="00B40DCF" w:rsidP="00B40DCF">
      <w:pPr>
        <w:ind w:right="1152"/>
        <w:rPr>
          <w:rFonts w:ascii="Calibri" w:hAnsi="Calibri" w:cs="Calibri"/>
          <w:b/>
          <w:bCs/>
          <w:sz w:val="19"/>
          <w:szCs w:val="19"/>
        </w:rPr>
      </w:pPr>
      <w:r w:rsidRPr="00D06A29">
        <w:rPr>
          <w:rFonts w:ascii="Calibri" w:hAnsi="Calibri" w:cs="Calibri"/>
          <w:b/>
          <w:bCs/>
          <w:sz w:val="19"/>
          <w:szCs w:val="19"/>
        </w:rPr>
        <w:t xml:space="preserve">Please </w:t>
      </w:r>
      <w:hyperlink r:id="rId8" w:history="1">
        <w:r w:rsidRPr="00D06A29">
          <w:rPr>
            <w:rStyle w:val="Hyperlink"/>
            <w:rFonts w:ascii="Calibri" w:hAnsi="Calibri" w:cs="Calibri"/>
            <w:b/>
            <w:bCs/>
            <w:sz w:val="19"/>
            <w:szCs w:val="19"/>
          </w:rPr>
          <w:t>click here</w:t>
        </w:r>
      </w:hyperlink>
      <w:r w:rsidRPr="00D06A29">
        <w:rPr>
          <w:rFonts w:ascii="Calibri" w:hAnsi="Calibri" w:cs="Calibri"/>
          <w:b/>
          <w:bCs/>
          <w:sz w:val="19"/>
          <w:szCs w:val="19"/>
        </w:rPr>
        <w:t xml:space="preserve"> for full Prescribing Information.</w:t>
      </w:r>
    </w:p>
    <w:p w14:paraId="09C10169" w14:textId="77777777" w:rsidR="00B40DCF" w:rsidRDefault="00B40DCF" w:rsidP="00B40DCF">
      <w:pPr>
        <w:ind w:right="1152"/>
        <w:rPr>
          <w:rFonts w:ascii="Calibri" w:hAnsi="Calibri" w:cs="Calibri"/>
          <w:b/>
          <w:bCs/>
          <w:sz w:val="19"/>
          <w:szCs w:val="19"/>
        </w:rPr>
      </w:pPr>
    </w:p>
    <w:p w14:paraId="59FC47C1" w14:textId="77777777" w:rsidR="00B40DCF" w:rsidRPr="00D06A29" w:rsidRDefault="00B40DCF" w:rsidP="00B40DCF">
      <w:pPr>
        <w:ind w:right="1152"/>
        <w:rPr>
          <w:rFonts w:ascii="Calibri" w:hAnsi="Calibri" w:cs="Calibri"/>
          <w:b/>
          <w:bCs/>
          <w:sz w:val="19"/>
          <w:szCs w:val="19"/>
        </w:rPr>
      </w:pPr>
    </w:p>
    <w:p w14:paraId="512076CD" w14:textId="77777777" w:rsidR="00B40DCF" w:rsidRPr="00D06A29" w:rsidRDefault="00B40DCF" w:rsidP="00B40DCF">
      <w:pPr>
        <w:rPr>
          <w:rFonts w:cstheme="minorHAnsi"/>
          <w:color w:val="000000" w:themeColor="text1"/>
          <w:sz w:val="19"/>
          <w:szCs w:val="19"/>
        </w:rPr>
      </w:pPr>
      <w:r w:rsidRPr="00D06A29">
        <w:rPr>
          <w:rFonts w:cstheme="minorHAnsi"/>
          <w:color w:val="000000" w:themeColor="text1"/>
          <w:sz w:val="19"/>
          <w:szCs w:val="19"/>
        </w:rPr>
        <w:sym w:font="Symbol" w:char="F0D3"/>
      </w:r>
      <w:r w:rsidRPr="00D06A29">
        <w:rPr>
          <w:rFonts w:cstheme="minorHAnsi"/>
          <w:color w:val="000000" w:themeColor="text1"/>
          <w:sz w:val="19"/>
          <w:szCs w:val="19"/>
        </w:rPr>
        <w:t xml:space="preserve"> 2024 SpringWorks Therapeutics, Inc.</w:t>
      </w:r>
    </w:p>
    <w:p w14:paraId="657A7973" w14:textId="7A009028" w:rsidR="00B40DCF" w:rsidRPr="00D06A29" w:rsidRDefault="00B40DCF" w:rsidP="00B40DCF">
      <w:pPr>
        <w:rPr>
          <w:rFonts w:cstheme="minorHAnsi"/>
          <w:color w:val="000000" w:themeColor="text1"/>
          <w:sz w:val="19"/>
          <w:szCs w:val="19"/>
        </w:rPr>
      </w:pPr>
      <w:r w:rsidRPr="00D06A29">
        <w:rPr>
          <w:rFonts w:cstheme="minorHAnsi"/>
          <w:color w:val="000000" w:themeColor="text1"/>
          <w:sz w:val="19"/>
          <w:szCs w:val="19"/>
        </w:rPr>
        <w:t>All rights reserved</w:t>
      </w:r>
      <w:r w:rsidRPr="00D45AED">
        <w:rPr>
          <w:rFonts w:cstheme="minorHAnsi"/>
          <w:color w:val="000000" w:themeColor="text1"/>
          <w:sz w:val="19"/>
          <w:szCs w:val="19"/>
        </w:rPr>
        <w:t>. C_OGS_US_</w:t>
      </w:r>
      <w:r w:rsidR="00D45AED" w:rsidRPr="00D45AED">
        <w:rPr>
          <w:rFonts w:cstheme="minorHAnsi"/>
          <w:color w:val="000000" w:themeColor="text1"/>
          <w:sz w:val="19"/>
          <w:szCs w:val="19"/>
        </w:rPr>
        <w:t>0222</w:t>
      </w:r>
      <w:r w:rsidRPr="00D45AED">
        <w:rPr>
          <w:rFonts w:cstheme="minorHAnsi"/>
          <w:color w:val="000000" w:themeColor="text1"/>
          <w:sz w:val="19"/>
          <w:szCs w:val="19"/>
        </w:rPr>
        <w:t xml:space="preserve"> </w:t>
      </w:r>
      <w:r w:rsidR="00006BD7">
        <w:rPr>
          <w:rFonts w:cstheme="minorHAnsi"/>
          <w:color w:val="000000" w:themeColor="text1"/>
          <w:sz w:val="19"/>
          <w:szCs w:val="19"/>
        </w:rPr>
        <w:t>0</w:t>
      </w:r>
      <w:r w:rsidR="00157679">
        <w:rPr>
          <w:rFonts w:cstheme="minorHAnsi"/>
          <w:color w:val="000000" w:themeColor="text1"/>
          <w:sz w:val="19"/>
          <w:szCs w:val="19"/>
        </w:rPr>
        <w:t>3</w:t>
      </w:r>
      <w:r w:rsidRPr="00D06A29">
        <w:rPr>
          <w:rFonts w:cstheme="minorHAnsi"/>
          <w:color w:val="000000" w:themeColor="text1"/>
          <w:sz w:val="19"/>
          <w:szCs w:val="19"/>
        </w:rPr>
        <w:t>/24</w:t>
      </w:r>
    </w:p>
    <w:p w14:paraId="2687DFEF" w14:textId="1D59FDDF" w:rsidR="009B1144" w:rsidRPr="00B40DCF" w:rsidRDefault="00B40DCF" w:rsidP="00B40DCF">
      <w:pPr>
        <w:rPr>
          <w:noProof/>
          <w:color w:val="000000" w:themeColor="text1"/>
          <w:sz w:val="19"/>
          <w:szCs w:val="19"/>
        </w:rPr>
      </w:pPr>
      <w:r w:rsidRPr="00D06A29">
        <w:rPr>
          <w:rFonts w:cstheme="minorHAnsi"/>
          <w:color w:val="000000" w:themeColor="text1"/>
          <w:sz w:val="19"/>
          <w:szCs w:val="19"/>
        </w:rPr>
        <w:t xml:space="preserve">OGSIVEO is a </w:t>
      </w:r>
      <w:r w:rsidR="0021647F">
        <w:rPr>
          <w:rFonts w:cstheme="minorHAnsi"/>
          <w:color w:val="000000" w:themeColor="text1"/>
          <w:sz w:val="19"/>
          <w:szCs w:val="19"/>
        </w:rPr>
        <w:t xml:space="preserve">registered </w:t>
      </w:r>
      <w:r w:rsidRPr="00D06A29">
        <w:rPr>
          <w:rFonts w:cstheme="minorHAnsi"/>
          <w:color w:val="000000" w:themeColor="text1"/>
          <w:sz w:val="19"/>
          <w:szCs w:val="19"/>
        </w:rPr>
        <w:t>trademark of SpringWorks Therapeutics, Inc.</w:t>
      </w:r>
    </w:p>
    <w:sectPr w:rsidR="009B1144" w:rsidRPr="00B40DCF" w:rsidSect="00922E82">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284F" w14:textId="77777777" w:rsidR="00922E82" w:rsidRDefault="00922E82" w:rsidP="00973C94">
      <w:r>
        <w:separator/>
      </w:r>
    </w:p>
  </w:endnote>
  <w:endnote w:type="continuationSeparator" w:id="0">
    <w:p w14:paraId="2C0EE56D" w14:textId="77777777" w:rsidR="00922E82" w:rsidRDefault="00922E82" w:rsidP="009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Condensed">
    <w:panose1 w:val="020B0606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auto"/>
    <w:pitch w:val="variable"/>
    <w:sig w:usb0="A10002FF" w:usb1="4000005B" w:usb2="00000000" w:usb3="00000000" w:csb0="0000009F" w:csb1="00000000"/>
  </w:font>
  <w:font w:name="AdobeClean-Regular">
    <w:altName w:val="Calibri"/>
    <w:panose1 w:val="020B0604020202020204"/>
    <w:charset w:val="00"/>
    <w:family w:val="auto"/>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5635" w14:textId="77777777" w:rsidR="00922E82" w:rsidRDefault="00922E82" w:rsidP="00973C94">
      <w:r>
        <w:separator/>
      </w:r>
    </w:p>
  </w:footnote>
  <w:footnote w:type="continuationSeparator" w:id="0">
    <w:p w14:paraId="52817142" w14:textId="77777777" w:rsidR="00922E82" w:rsidRDefault="00922E82" w:rsidP="0097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9FB1" w14:textId="78D23E75" w:rsidR="00CC4153" w:rsidRDefault="00CC4153">
    <w:pPr>
      <w:pStyle w:val="Header"/>
    </w:pPr>
    <w:r>
      <w:rPr>
        <w:noProof/>
        <w:sz w:val="22"/>
        <w:szCs w:val="22"/>
      </w:rPr>
      <mc:AlternateContent>
        <mc:Choice Requires="wps">
          <w:drawing>
            <wp:anchor distT="0" distB="0" distL="114300" distR="114300" simplePos="0" relativeHeight="251665408" behindDoc="1" locked="1" layoutInCell="1" allowOverlap="1" wp14:anchorId="34B3074B" wp14:editId="1C0B0630">
              <wp:simplePos x="0" y="0"/>
              <wp:positionH relativeFrom="column">
                <wp:posOffset>-553085</wp:posOffset>
              </wp:positionH>
              <wp:positionV relativeFrom="page">
                <wp:posOffset>0</wp:posOffset>
              </wp:positionV>
              <wp:extent cx="7781290" cy="10076180"/>
              <wp:effectExtent l="0" t="0" r="3810" b="0"/>
              <wp:wrapNone/>
              <wp:docPr id="12" name="Rectangle 12"/>
              <wp:cNvGraphicFramePr/>
              <a:graphic xmlns:a="http://schemas.openxmlformats.org/drawingml/2006/main">
                <a:graphicData uri="http://schemas.microsoft.com/office/word/2010/wordprocessingShape">
                  <wps:wsp>
                    <wps:cNvSpPr/>
                    <wps:spPr>
                      <a:xfrm>
                        <a:off x="0" y="0"/>
                        <a:ext cx="7781290" cy="100761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D27FC" id="Rectangle 12" o:spid="_x0000_s1026" style="position:absolute;margin-left:-43.55pt;margin-top:0;width:612.7pt;height:79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" fillcolor="#f2f2f2 [3052]" stroked="f" strokeweight="1pt">
              <w10:wrap anchory="page"/>
              <w10:anchorlock/>
            </v:rect>
          </w:pict>
        </mc:Fallback>
      </mc:AlternateContent>
    </w:r>
    <w:r>
      <w:rPr>
        <w:noProof/>
        <w:sz w:val="22"/>
        <w:szCs w:val="22"/>
      </w:rPr>
      <mc:AlternateContent>
        <mc:Choice Requires="wps">
          <w:drawing>
            <wp:anchor distT="0" distB="0" distL="114300" distR="114300" simplePos="0" relativeHeight="251666432" behindDoc="1" locked="1" layoutInCell="1" allowOverlap="1" wp14:anchorId="488C1EFB" wp14:editId="72D7E68D">
              <wp:simplePos x="0" y="0"/>
              <wp:positionH relativeFrom="margin">
                <wp:posOffset>-229235</wp:posOffset>
              </wp:positionH>
              <wp:positionV relativeFrom="margin">
                <wp:posOffset>-299720</wp:posOffset>
              </wp:positionV>
              <wp:extent cx="7084060" cy="9004935"/>
              <wp:effectExtent l="114300" t="127000" r="129540" b="126365"/>
              <wp:wrapNone/>
              <wp:docPr id="14" name="Rectangle 1"/>
              <wp:cNvGraphicFramePr/>
              <a:graphic xmlns:a="http://schemas.openxmlformats.org/drawingml/2006/main">
                <a:graphicData uri="http://schemas.microsoft.com/office/word/2010/wordprocessingShape">
                  <wps:wsp>
                    <wps:cNvSpPr/>
                    <wps:spPr>
                      <a:xfrm>
                        <a:off x="0" y="0"/>
                        <a:ext cx="7084060" cy="9004935"/>
                      </a:xfrm>
                      <a:prstGeom prst="roundRect">
                        <a:avLst>
                          <a:gd name="adj" fmla="val 2304"/>
                        </a:avLst>
                      </a:prstGeom>
                      <a:solidFill>
                        <a:schemeClr val="bg1"/>
                      </a:solidFill>
                      <a:ln>
                        <a:noFill/>
                      </a:ln>
                      <a:effectLst>
                        <a:outerShdw blurRad="1524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0A9FA20" id="Rectangle 1" o:spid="_x0000_s1026" style="position:absolute;margin-left:-18.05pt;margin-top:-23.6pt;width:557.8pt;height:709.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" fillcolor="white [3212]" stroked="f" strokeweight="1pt">
              <v:stroke joinstyle="miter"/>
              <v:shadow on="t" color="black" opacity="13107f" offset="0,0"/>
              <w10:wrap anchorx="margin" anchory="margin"/>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3C"/>
    <w:multiLevelType w:val="hybridMultilevel"/>
    <w:tmpl w:val="C526E9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105C1C"/>
    <w:multiLevelType w:val="hybridMultilevel"/>
    <w:tmpl w:val="6BC2661C"/>
    <w:lvl w:ilvl="0" w:tplc="04090001">
      <w:start w:val="1"/>
      <w:numFmt w:val="bullet"/>
      <w:lvlText w:val=""/>
      <w:lvlJc w:val="left"/>
      <w:pPr>
        <w:ind w:left="720" w:hanging="360"/>
      </w:pPr>
      <w:rPr>
        <w:rFonts w:ascii="Symbol" w:hAnsi="Symbol" w:hint="default"/>
      </w:rPr>
    </w:lvl>
    <w:lvl w:ilvl="1" w:tplc="9E407DE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607F4"/>
    <w:multiLevelType w:val="hybridMultilevel"/>
    <w:tmpl w:val="9020807C"/>
    <w:lvl w:ilvl="0" w:tplc="238E69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47D3E"/>
    <w:multiLevelType w:val="hybridMultilevel"/>
    <w:tmpl w:val="7DD60C96"/>
    <w:lvl w:ilvl="0" w:tplc="10CA79CC">
      <w:start w:val="1"/>
      <w:numFmt w:val="bullet"/>
      <w:lvlText w:val=""/>
      <w:lvlJc w:val="left"/>
      <w:pPr>
        <w:ind w:left="36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76DEF"/>
    <w:multiLevelType w:val="hybridMultilevel"/>
    <w:tmpl w:val="01D22FB0"/>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5F9B"/>
    <w:multiLevelType w:val="hybridMultilevel"/>
    <w:tmpl w:val="25FA72FC"/>
    <w:lvl w:ilvl="0" w:tplc="10CA79CC">
      <w:start w:val="1"/>
      <w:numFmt w:val="bullet"/>
      <w:lvlText w:val=""/>
      <w:lvlJc w:val="left"/>
      <w:pPr>
        <w:ind w:left="72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56509"/>
    <w:multiLevelType w:val="hybridMultilevel"/>
    <w:tmpl w:val="C09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34337"/>
    <w:multiLevelType w:val="hybridMultilevel"/>
    <w:tmpl w:val="AC8E6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B460A"/>
    <w:multiLevelType w:val="hybridMultilevel"/>
    <w:tmpl w:val="868E9AE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 w15:restartNumberingAfterBreak="0">
    <w:nsid w:val="2C3F34D1"/>
    <w:multiLevelType w:val="hybridMultilevel"/>
    <w:tmpl w:val="999A41E6"/>
    <w:lvl w:ilvl="0" w:tplc="10CA79CC">
      <w:start w:val="1"/>
      <w:numFmt w:val="bullet"/>
      <w:lvlText w:val=""/>
      <w:lvlJc w:val="left"/>
      <w:pPr>
        <w:ind w:left="360" w:hanging="360"/>
      </w:pPr>
      <w:rPr>
        <w:rFonts w:ascii="Tw Cen MT Condensed" w:hAnsi="Tw Cen MT Condensed" w:hint="default"/>
      </w:rPr>
    </w:lvl>
    <w:lvl w:ilvl="1" w:tplc="D13EBE9C">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0C2C3D"/>
    <w:multiLevelType w:val="hybridMultilevel"/>
    <w:tmpl w:val="5C84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B5C26"/>
    <w:multiLevelType w:val="hybridMultilevel"/>
    <w:tmpl w:val="6AE07208"/>
    <w:lvl w:ilvl="0" w:tplc="0409000F">
      <w:start w:val="1"/>
      <w:numFmt w:val="decimal"/>
      <w:lvlText w:val="%1."/>
      <w:lvlJc w:val="left"/>
      <w:pPr>
        <w:ind w:left="720" w:hanging="360"/>
      </w:pPr>
      <w:rPr>
        <w:rFonts w:hint="default"/>
        <w:color w:val="3030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1418F"/>
    <w:multiLevelType w:val="hybridMultilevel"/>
    <w:tmpl w:val="7CFE78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82E7D64"/>
    <w:multiLevelType w:val="hybridMultilevel"/>
    <w:tmpl w:val="50F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7761E"/>
    <w:multiLevelType w:val="hybridMultilevel"/>
    <w:tmpl w:val="514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E7216"/>
    <w:multiLevelType w:val="hybridMultilevel"/>
    <w:tmpl w:val="F1F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1091"/>
    <w:multiLevelType w:val="hybridMultilevel"/>
    <w:tmpl w:val="857097B6"/>
    <w:lvl w:ilvl="0" w:tplc="238E69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07864"/>
    <w:multiLevelType w:val="hybridMultilevel"/>
    <w:tmpl w:val="6C0431FC"/>
    <w:lvl w:ilvl="0" w:tplc="E2BE40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C52B4"/>
    <w:multiLevelType w:val="hybridMultilevel"/>
    <w:tmpl w:val="0990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9310E"/>
    <w:multiLevelType w:val="hybridMultilevel"/>
    <w:tmpl w:val="97BEF3B6"/>
    <w:lvl w:ilvl="0" w:tplc="13B2F22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55705"/>
    <w:multiLevelType w:val="hybridMultilevel"/>
    <w:tmpl w:val="8F9E0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8B5154"/>
    <w:multiLevelType w:val="hybridMultilevel"/>
    <w:tmpl w:val="F088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55804"/>
    <w:multiLevelType w:val="hybridMultilevel"/>
    <w:tmpl w:val="FE0824A4"/>
    <w:lvl w:ilvl="0" w:tplc="0409000F">
      <w:start w:val="1"/>
      <w:numFmt w:val="decimal"/>
      <w:lvlText w:val="%1."/>
      <w:lvlJc w:val="left"/>
      <w:pPr>
        <w:ind w:left="720" w:hanging="360"/>
      </w:pPr>
      <w:rPr>
        <w:rFonts w:hint="default"/>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8345A9"/>
    <w:multiLevelType w:val="hybridMultilevel"/>
    <w:tmpl w:val="7D50CB4C"/>
    <w:lvl w:ilvl="0" w:tplc="04090003">
      <w:start w:val="1"/>
      <w:numFmt w:val="bullet"/>
      <w:lvlText w:val="o"/>
      <w:lvlJc w:val="left"/>
      <w:pPr>
        <w:ind w:left="792" w:hanging="360"/>
      </w:pPr>
      <w:rPr>
        <w:rFonts w:ascii="Courier New" w:hAnsi="Courier New" w:cs="Courier New"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24" w15:restartNumberingAfterBreak="0">
    <w:nsid w:val="5DAC585D"/>
    <w:multiLevelType w:val="hybridMultilevel"/>
    <w:tmpl w:val="78048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076BE"/>
    <w:multiLevelType w:val="hybridMultilevel"/>
    <w:tmpl w:val="8698D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6078C"/>
    <w:multiLevelType w:val="hybridMultilevel"/>
    <w:tmpl w:val="662862D4"/>
    <w:lvl w:ilvl="0" w:tplc="D19E51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432726">
    <w:abstractNumId w:val="26"/>
  </w:num>
  <w:num w:numId="2" w16cid:durableId="592057261">
    <w:abstractNumId w:val="4"/>
  </w:num>
  <w:num w:numId="3" w16cid:durableId="2038769456">
    <w:abstractNumId w:val="1"/>
  </w:num>
  <w:num w:numId="4" w16cid:durableId="55393835">
    <w:abstractNumId w:val="5"/>
  </w:num>
  <w:num w:numId="5" w16cid:durableId="703560659">
    <w:abstractNumId w:val="3"/>
  </w:num>
  <w:num w:numId="6" w16cid:durableId="507014836">
    <w:abstractNumId w:val="9"/>
  </w:num>
  <w:num w:numId="7" w16cid:durableId="144590674">
    <w:abstractNumId w:val="24"/>
  </w:num>
  <w:num w:numId="8" w16cid:durableId="1386293951">
    <w:abstractNumId w:val="14"/>
  </w:num>
  <w:num w:numId="9" w16cid:durableId="567351304">
    <w:abstractNumId w:val="17"/>
  </w:num>
  <w:num w:numId="10" w16cid:durableId="738090779">
    <w:abstractNumId w:val="25"/>
  </w:num>
  <w:num w:numId="11" w16cid:durableId="794711550">
    <w:abstractNumId w:val="13"/>
  </w:num>
  <w:num w:numId="12" w16cid:durableId="1568103900">
    <w:abstractNumId w:val="22"/>
  </w:num>
  <w:num w:numId="13" w16cid:durableId="9529622">
    <w:abstractNumId w:val="18"/>
  </w:num>
  <w:num w:numId="14" w16cid:durableId="1960987365">
    <w:abstractNumId w:val="19"/>
  </w:num>
  <w:num w:numId="15" w16cid:durableId="194077759">
    <w:abstractNumId w:val="10"/>
  </w:num>
  <w:num w:numId="16" w16cid:durableId="605843760">
    <w:abstractNumId w:val="20"/>
  </w:num>
  <w:num w:numId="17" w16cid:durableId="447431113">
    <w:abstractNumId w:val="7"/>
  </w:num>
  <w:num w:numId="18" w16cid:durableId="212474289">
    <w:abstractNumId w:val="15"/>
  </w:num>
  <w:num w:numId="19" w16cid:durableId="1147824224">
    <w:abstractNumId w:val="6"/>
  </w:num>
  <w:num w:numId="20" w16cid:durableId="1936862129">
    <w:abstractNumId w:val="21"/>
  </w:num>
  <w:num w:numId="21" w16cid:durableId="1701591580">
    <w:abstractNumId w:val="0"/>
  </w:num>
  <w:num w:numId="22" w16cid:durableId="2040620495">
    <w:abstractNumId w:val="11"/>
  </w:num>
  <w:num w:numId="23" w16cid:durableId="693115863">
    <w:abstractNumId w:val="12"/>
  </w:num>
  <w:num w:numId="24" w16cid:durableId="888999754">
    <w:abstractNumId w:val="23"/>
  </w:num>
  <w:num w:numId="25" w16cid:durableId="631447243">
    <w:abstractNumId w:val="2"/>
  </w:num>
  <w:num w:numId="26" w16cid:durableId="2043893653">
    <w:abstractNumId w:val="16"/>
  </w:num>
  <w:num w:numId="27" w16cid:durableId="1882863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9"/>
    <w:rsid w:val="00006BD7"/>
    <w:rsid w:val="0001381D"/>
    <w:rsid w:val="0001506B"/>
    <w:rsid w:val="00024AF3"/>
    <w:rsid w:val="0003595A"/>
    <w:rsid w:val="000408B5"/>
    <w:rsid w:val="0004268D"/>
    <w:rsid w:val="00042BE1"/>
    <w:rsid w:val="000450EF"/>
    <w:rsid w:val="0005163F"/>
    <w:rsid w:val="00060A2C"/>
    <w:rsid w:val="000628C0"/>
    <w:rsid w:val="0006667D"/>
    <w:rsid w:val="0007073B"/>
    <w:rsid w:val="000740A6"/>
    <w:rsid w:val="000845C8"/>
    <w:rsid w:val="00085D60"/>
    <w:rsid w:val="00086658"/>
    <w:rsid w:val="00091632"/>
    <w:rsid w:val="00092ADE"/>
    <w:rsid w:val="00093CD1"/>
    <w:rsid w:val="000941D8"/>
    <w:rsid w:val="00095E81"/>
    <w:rsid w:val="000A1135"/>
    <w:rsid w:val="000A2A20"/>
    <w:rsid w:val="000A54EE"/>
    <w:rsid w:val="000B19C1"/>
    <w:rsid w:val="000B5C5E"/>
    <w:rsid w:val="000C5E39"/>
    <w:rsid w:val="000D2637"/>
    <w:rsid w:val="000D5A1F"/>
    <w:rsid w:val="000E0451"/>
    <w:rsid w:val="000E1896"/>
    <w:rsid w:val="000E5A3F"/>
    <w:rsid w:val="000E7910"/>
    <w:rsid w:val="000F260B"/>
    <w:rsid w:val="000F2F05"/>
    <w:rsid w:val="00103175"/>
    <w:rsid w:val="00103A7D"/>
    <w:rsid w:val="0011107D"/>
    <w:rsid w:val="0011242B"/>
    <w:rsid w:val="00112F44"/>
    <w:rsid w:val="00116251"/>
    <w:rsid w:val="00137AAE"/>
    <w:rsid w:val="00153F69"/>
    <w:rsid w:val="00157679"/>
    <w:rsid w:val="00162673"/>
    <w:rsid w:val="00170D89"/>
    <w:rsid w:val="00173C2C"/>
    <w:rsid w:val="00174AF2"/>
    <w:rsid w:val="00177493"/>
    <w:rsid w:val="001778F3"/>
    <w:rsid w:val="00182068"/>
    <w:rsid w:val="001821E6"/>
    <w:rsid w:val="00186E0F"/>
    <w:rsid w:val="001875D1"/>
    <w:rsid w:val="00191DD8"/>
    <w:rsid w:val="0019371E"/>
    <w:rsid w:val="001A23CC"/>
    <w:rsid w:val="001B2F26"/>
    <w:rsid w:val="001B75D3"/>
    <w:rsid w:val="001D5808"/>
    <w:rsid w:val="001D7034"/>
    <w:rsid w:val="001E04E1"/>
    <w:rsid w:val="001E1B01"/>
    <w:rsid w:val="001E3C8B"/>
    <w:rsid w:val="001E646E"/>
    <w:rsid w:val="001E64B3"/>
    <w:rsid w:val="001E655B"/>
    <w:rsid w:val="001F088C"/>
    <w:rsid w:val="001F3514"/>
    <w:rsid w:val="00202C7E"/>
    <w:rsid w:val="00202D11"/>
    <w:rsid w:val="00210E50"/>
    <w:rsid w:val="00216474"/>
    <w:rsid w:val="0021647F"/>
    <w:rsid w:val="00225781"/>
    <w:rsid w:val="00230A6B"/>
    <w:rsid w:val="00243ACD"/>
    <w:rsid w:val="00267B1D"/>
    <w:rsid w:val="00271463"/>
    <w:rsid w:val="00273CEB"/>
    <w:rsid w:val="0028371C"/>
    <w:rsid w:val="00284DB2"/>
    <w:rsid w:val="00291E4B"/>
    <w:rsid w:val="00292752"/>
    <w:rsid w:val="0029468B"/>
    <w:rsid w:val="00295560"/>
    <w:rsid w:val="002A296B"/>
    <w:rsid w:val="002A5AAD"/>
    <w:rsid w:val="002A7F7A"/>
    <w:rsid w:val="002B101C"/>
    <w:rsid w:val="002B7CDC"/>
    <w:rsid w:val="002C1214"/>
    <w:rsid w:val="002C1F7B"/>
    <w:rsid w:val="002C5E40"/>
    <w:rsid w:val="002D20F0"/>
    <w:rsid w:val="002D557B"/>
    <w:rsid w:val="002D62C5"/>
    <w:rsid w:val="002E1A58"/>
    <w:rsid w:val="002F0DBD"/>
    <w:rsid w:val="002F3BFC"/>
    <w:rsid w:val="002F3E73"/>
    <w:rsid w:val="00310BD3"/>
    <w:rsid w:val="00325B02"/>
    <w:rsid w:val="00332F71"/>
    <w:rsid w:val="00333719"/>
    <w:rsid w:val="003417FB"/>
    <w:rsid w:val="00341EE0"/>
    <w:rsid w:val="00342A85"/>
    <w:rsid w:val="00343422"/>
    <w:rsid w:val="003439C6"/>
    <w:rsid w:val="003458A5"/>
    <w:rsid w:val="00346A6D"/>
    <w:rsid w:val="00347686"/>
    <w:rsid w:val="003653B7"/>
    <w:rsid w:val="00365FD7"/>
    <w:rsid w:val="003742EB"/>
    <w:rsid w:val="00374A44"/>
    <w:rsid w:val="00375F17"/>
    <w:rsid w:val="0037761C"/>
    <w:rsid w:val="0037779E"/>
    <w:rsid w:val="00380A9D"/>
    <w:rsid w:val="00392082"/>
    <w:rsid w:val="00392454"/>
    <w:rsid w:val="003926B0"/>
    <w:rsid w:val="00392D82"/>
    <w:rsid w:val="00393FBA"/>
    <w:rsid w:val="003971AB"/>
    <w:rsid w:val="003A138D"/>
    <w:rsid w:val="003A505B"/>
    <w:rsid w:val="003B13F5"/>
    <w:rsid w:val="003B51B2"/>
    <w:rsid w:val="003B5A75"/>
    <w:rsid w:val="003B7255"/>
    <w:rsid w:val="003C0D55"/>
    <w:rsid w:val="003C6DE2"/>
    <w:rsid w:val="003D1FBB"/>
    <w:rsid w:val="003E70E2"/>
    <w:rsid w:val="003E73B8"/>
    <w:rsid w:val="003F1090"/>
    <w:rsid w:val="003F28F6"/>
    <w:rsid w:val="00401F8C"/>
    <w:rsid w:val="00403368"/>
    <w:rsid w:val="00410017"/>
    <w:rsid w:val="00437DF4"/>
    <w:rsid w:val="00443956"/>
    <w:rsid w:val="00445F68"/>
    <w:rsid w:val="004474C9"/>
    <w:rsid w:val="004539AD"/>
    <w:rsid w:val="004573AB"/>
    <w:rsid w:val="00457DD9"/>
    <w:rsid w:val="00460E4F"/>
    <w:rsid w:val="00464B20"/>
    <w:rsid w:val="004673D3"/>
    <w:rsid w:val="00472677"/>
    <w:rsid w:val="00473FE0"/>
    <w:rsid w:val="004773D8"/>
    <w:rsid w:val="004808B4"/>
    <w:rsid w:val="00487053"/>
    <w:rsid w:val="00490491"/>
    <w:rsid w:val="004A2BE3"/>
    <w:rsid w:val="004B5A71"/>
    <w:rsid w:val="004C09CC"/>
    <w:rsid w:val="004C189D"/>
    <w:rsid w:val="004C5936"/>
    <w:rsid w:val="004C64F9"/>
    <w:rsid w:val="004D1783"/>
    <w:rsid w:val="004D229E"/>
    <w:rsid w:val="004D6224"/>
    <w:rsid w:val="004E148F"/>
    <w:rsid w:val="004E3697"/>
    <w:rsid w:val="004E4B00"/>
    <w:rsid w:val="004F45E3"/>
    <w:rsid w:val="004F7C57"/>
    <w:rsid w:val="0050190E"/>
    <w:rsid w:val="00503DFA"/>
    <w:rsid w:val="00503F3B"/>
    <w:rsid w:val="0050549D"/>
    <w:rsid w:val="00516361"/>
    <w:rsid w:val="00517007"/>
    <w:rsid w:val="005171CB"/>
    <w:rsid w:val="00523BE8"/>
    <w:rsid w:val="0052514B"/>
    <w:rsid w:val="00530654"/>
    <w:rsid w:val="00540CBD"/>
    <w:rsid w:val="00541BB5"/>
    <w:rsid w:val="005428F0"/>
    <w:rsid w:val="0054341F"/>
    <w:rsid w:val="005447A3"/>
    <w:rsid w:val="0054491A"/>
    <w:rsid w:val="00550133"/>
    <w:rsid w:val="00553299"/>
    <w:rsid w:val="00562A13"/>
    <w:rsid w:val="00564AA7"/>
    <w:rsid w:val="00572C9F"/>
    <w:rsid w:val="00591655"/>
    <w:rsid w:val="0059286A"/>
    <w:rsid w:val="005928E8"/>
    <w:rsid w:val="00596985"/>
    <w:rsid w:val="005A36DE"/>
    <w:rsid w:val="005A7A23"/>
    <w:rsid w:val="005B1F66"/>
    <w:rsid w:val="005B4B72"/>
    <w:rsid w:val="005C0D69"/>
    <w:rsid w:val="005C1FEF"/>
    <w:rsid w:val="005C3E2A"/>
    <w:rsid w:val="005C4329"/>
    <w:rsid w:val="005C6A00"/>
    <w:rsid w:val="005D0452"/>
    <w:rsid w:val="005D1C4D"/>
    <w:rsid w:val="005D476F"/>
    <w:rsid w:val="005D7EFC"/>
    <w:rsid w:val="005E318D"/>
    <w:rsid w:val="005E4754"/>
    <w:rsid w:val="005E55E4"/>
    <w:rsid w:val="005F1EDF"/>
    <w:rsid w:val="005F4941"/>
    <w:rsid w:val="006108A0"/>
    <w:rsid w:val="0062301B"/>
    <w:rsid w:val="0062379E"/>
    <w:rsid w:val="00627444"/>
    <w:rsid w:val="00627F8F"/>
    <w:rsid w:val="00630039"/>
    <w:rsid w:val="00631077"/>
    <w:rsid w:val="00631E5A"/>
    <w:rsid w:val="00633543"/>
    <w:rsid w:val="0064364A"/>
    <w:rsid w:val="00644A7A"/>
    <w:rsid w:val="00645D6C"/>
    <w:rsid w:val="006518D9"/>
    <w:rsid w:val="00653068"/>
    <w:rsid w:val="00654F17"/>
    <w:rsid w:val="006576F2"/>
    <w:rsid w:val="0066243D"/>
    <w:rsid w:val="00663632"/>
    <w:rsid w:val="006704AD"/>
    <w:rsid w:val="00671187"/>
    <w:rsid w:val="0067255B"/>
    <w:rsid w:val="00672FF0"/>
    <w:rsid w:val="006765FD"/>
    <w:rsid w:val="00676617"/>
    <w:rsid w:val="0067734A"/>
    <w:rsid w:val="00677B17"/>
    <w:rsid w:val="0068367F"/>
    <w:rsid w:val="00685AA1"/>
    <w:rsid w:val="006861BB"/>
    <w:rsid w:val="00687513"/>
    <w:rsid w:val="00694CC4"/>
    <w:rsid w:val="00695644"/>
    <w:rsid w:val="00696115"/>
    <w:rsid w:val="006A0896"/>
    <w:rsid w:val="006A0A29"/>
    <w:rsid w:val="006A469C"/>
    <w:rsid w:val="006A57C5"/>
    <w:rsid w:val="006A5FEC"/>
    <w:rsid w:val="006B1922"/>
    <w:rsid w:val="006B239B"/>
    <w:rsid w:val="006B3D51"/>
    <w:rsid w:val="006B44BA"/>
    <w:rsid w:val="006B7BC3"/>
    <w:rsid w:val="006C1697"/>
    <w:rsid w:val="006C33B0"/>
    <w:rsid w:val="006C361C"/>
    <w:rsid w:val="006C456B"/>
    <w:rsid w:val="006E5447"/>
    <w:rsid w:val="006F6458"/>
    <w:rsid w:val="00702741"/>
    <w:rsid w:val="00703CC8"/>
    <w:rsid w:val="00707DB4"/>
    <w:rsid w:val="007116DA"/>
    <w:rsid w:val="007120E7"/>
    <w:rsid w:val="00716695"/>
    <w:rsid w:val="0071736C"/>
    <w:rsid w:val="007178EE"/>
    <w:rsid w:val="00717AFE"/>
    <w:rsid w:val="00721D32"/>
    <w:rsid w:val="0073789D"/>
    <w:rsid w:val="00742C82"/>
    <w:rsid w:val="00774252"/>
    <w:rsid w:val="00774BAC"/>
    <w:rsid w:val="00780920"/>
    <w:rsid w:val="00792285"/>
    <w:rsid w:val="00797C27"/>
    <w:rsid w:val="007A0EED"/>
    <w:rsid w:val="007A1BA7"/>
    <w:rsid w:val="007A4ACE"/>
    <w:rsid w:val="007B3A14"/>
    <w:rsid w:val="007B411D"/>
    <w:rsid w:val="007C1BA0"/>
    <w:rsid w:val="007D176C"/>
    <w:rsid w:val="007D586D"/>
    <w:rsid w:val="007D654F"/>
    <w:rsid w:val="007E2F97"/>
    <w:rsid w:val="007E63E0"/>
    <w:rsid w:val="007F37D8"/>
    <w:rsid w:val="007F5084"/>
    <w:rsid w:val="008070FD"/>
    <w:rsid w:val="00810506"/>
    <w:rsid w:val="008125CE"/>
    <w:rsid w:val="0081385E"/>
    <w:rsid w:val="008201D5"/>
    <w:rsid w:val="0082160D"/>
    <w:rsid w:val="00822DD6"/>
    <w:rsid w:val="0083196A"/>
    <w:rsid w:val="00852215"/>
    <w:rsid w:val="00852AF8"/>
    <w:rsid w:val="00855562"/>
    <w:rsid w:val="008623B6"/>
    <w:rsid w:val="00862989"/>
    <w:rsid w:val="00867EE3"/>
    <w:rsid w:val="0087233A"/>
    <w:rsid w:val="00874F99"/>
    <w:rsid w:val="008766CA"/>
    <w:rsid w:val="00877188"/>
    <w:rsid w:val="00880B26"/>
    <w:rsid w:val="00881A5F"/>
    <w:rsid w:val="00886391"/>
    <w:rsid w:val="00892878"/>
    <w:rsid w:val="0089668E"/>
    <w:rsid w:val="0089674E"/>
    <w:rsid w:val="008A0D1D"/>
    <w:rsid w:val="008A138A"/>
    <w:rsid w:val="008A3C3B"/>
    <w:rsid w:val="008A7CA1"/>
    <w:rsid w:val="008B03F3"/>
    <w:rsid w:val="008B60CA"/>
    <w:rsid w:val="008C217E"/>
    <w:rsid w:val="008D377D"/>
    <w:rsid w:val="008D4F16"/>
    <w:rsid w:val="008D57ED"/>
    <w:rsid w:val="008E2EF6"/>
    <w:rsid w:val="008E560F"/>
    <w:rsid w:val="008F31EB"/>
    <w:rsid w:val="009064AD"/>
    <w:rsid w:val="0091408D"/>
    <w:rsid w:val="00922E82"/>
    <w:rsid w:val="00925E5F"/>
    <w:rsid w:val="00930767"/>
    <w:rsid w:val="00933EBF"/>
    <w:rsid w:val="009364A2"/>
    <w:rsid w:val="00946C4E"/>
    <w:rsid w:val="00947BCE"/>
    <w:rsid w:val="00957CAE"/>
    <w:rsid w:val="00957EEA"/>
    <w:rsid w:val="009613AE"/>
    <w:rsid w:val="009619EA"/>
    <w:rsid w:val="00964C8F"/>
    <w:rsid w:val="009659C6"/>
    <w:rsid w:val="0097004B"/>
    <w:rsid w:val="009730CB"/>
    <w:rsid w:val="00973C94"/>
    <w:rsid w:val="0097663C"/>
    <w:rsid w:val="009803A0"/>
    <w:rsid w:val="00981272"/>
    <w:rsid w:val="009820CF"/>
    <w:rsid w:val="00985E1F"/>
    <w:rsid w:val="0099283A"/>
    <w:rsid w:val="0099570C"/>
    <w:rsid w:val="009A1240"/>
    <w:rsid w:val="009A1ABB"/>
    <w:rsid w:val="009A3A05"/>
    <w:rsid w:val="009A5B2E"/>
    <w:rsid w:val="009B1144"/>
    <w:rsid w:val="009B7E8E"/>
    <w:rsid w:val="009C2B6F"/>
    <w:rsid w:val="009C2BD7"/>
    <w:rsid w:val="009C4C38"/>
    <w:rsid w:val="009C5AAF"/>
    <w:rsid w:val="009F3DC4"/>
    <w:rsid w:val="009F6E38"/>
    <w:rsid w:val="00A04F36"/>
    <w:rsid w:val="00A12DFA"/>
    <w:rsid w:val="00A15D23"/>
    <w:rsid w:val="00A17C1C"/>
    <w:rsid w:val="00A275EE"/>
    <w:rsid w:val="00A319B2"/>
    <w:rsid w:val="00A33D4D"/>
    <w:rsid w:val="00A466EF"/>
    <w:rsid w:val="00A50442"/>
    <w:rsid w:val="00A53EED"/>
    <w:rsid w:val="00A645DF"/>
    <w:rsid w:val="00A67930"/>
    <w:rsid w:val="00A753D4"/>
    <w:rsid w:val="00A77740"/>
    <w:rsid w:val="00A77E2B"/>
    <w:rsid w:val="00A829C6"/>
    <w:rsid w:val="00A83791"/>
    <w:rsid w:val="00A95C10"/>
    <w:rsid w:val="00AA0526"/>
    <w:rsid w:val="00AA197A"/>
    <w:rsid w:val="00AA2B46"/>
    <w:rsid w:val="00AB0698"/>
    <w:rsid w:val="00AB2918"/>
    <w:rsid w:val="00AD3C52"/>
    <w:rsid w:val="00AE0F8B"/>
    <w:rsid w:val="00AE10C3"/>
    <w:rsid w:val="00AE4AAF"/>
    <w:rsid w:val="00AF3030"/>
    <w:rsid w:val="00AF7F8B"/>
    <w:rsid w:val="00B01337"/>
    <w:rsid w:val="00B01FFF"/>
    <w:rsid w:val="00B021F3"/>
    <w:rsid w:val="00B03326"/>
    <w:rsid w:val="00B11AA7"/>
    <w:rsid w:val="00B16DFD"/>
    <w:rsid w:val="00B2547D"/>
    <w:rsid w:val="00B306C0"/>
    <w:rsid w:val="00B31E17"/>
    <w:rsid w:val="00B367AB"/>
    <w:rsid w:val="00B40201"/>
    <w:rsid w:val="00B40DCF"/>
    <w:rsid w:val="00B67F93"/>
    <w:rsid w:val="00B70B30"/>
    <w:rsid w:val="00B72073"/>
    <w:rsid w:val="00B74DC9"/>
    <w:rsid w:val="00B94280"/>
    <w:rsid w:val="00BB4D80"/>
    <w:rsid w:val="00BC332F"/>
    <w:rsid w:val="00BC5641"/>
    <w:rsid w:val="00BD2E40"/>
    <w:rsid w:val="00BD55D8"/>
    <w:rsid w:val="00BE226A"/>
    <w:rsid w:val="00BE5A1A"/>
    <w:rsid w:val="00BF40CB"/>
    <w:rsid w:val="00BF7DF3"/>
    <w:rsid w:val="00C02A21"/>
    <w:rsid w:val="00C05056"/>
    <w:rsid w:val="00C106A2"/>
    <w:rsid w:val="00C11AA7"/>
    <w:rsid w:val="00C16050"/>
    <w:rsid w:val="00C1646A"/>
    <w:rsid w:val="00C21930"/>
    <w:rsid w:val="00C22CA3"/>
    <w:rsid w:val="00C26337"/>
    <w:rsid w:val="00C27405"/>
    <w:rsid w:val="00C27442"/>
    <w:rsid w:val="00C27582"/>
    <w:rsid w:val="00C422C0"/>
    <w:rsid w:val="00C42BA5"/>
    <w:rsid w:val="00C43F28"/>
    <w:rsid w:val="00C468D0"/>
    <w:rsid w:val="00C50E9B"/>
    <w:rsid w:val="00C52F00"/>
    <w:rsid w:val="00C56DF0"/>
    <w:rsid w:val="00C56E75"/>
    <w:rsid w:val="00C63306"/>
    <w:rsid w:val="00C66AF8"/>
    <w:rsid w:val="00C70508"/>
    <w:rsid w:val="00C70762"/>
    <w:rsid w:val="00C74F1D"/>
    <w:rsid w:val="00C74F80"/>
    <w:rsid w:val="00C76B5C"/>
    <w:rsid w:val="00C900D7"/>
    <w:rsid w:val="00C90EF9"/>
    <w:rsid w:val="00C9207A"/>
    <w:rsid w:val="00C92173"/>
    <w:rsid w:val="00CA25D6"/>
    <w:rsid w:val="00CB713D"/>
    <w:rsid w:val="00CC4153"/>
    <w:rsid w:val="00CC582A"/>
    <w:rsid w:val="00CD5311"/>
    <w:rsid w:val="00CD695D"/>
    <w:rsid w:val="00CE1E81"/>
    <w:rsid w:val="00CE22D0"/>
    <w:rsid w:val="00CE3E6B"/>
    <w:rsid w:val="00CE49D9"/>
    <w:rsid w:val="00CF3E03"/>
    <w:rsid w:val="00CF6B1B"/>
    <w:rsid w:val="00D0562F"/>
    <w:rsid w:val="00D07193"/>
    <w:rsid w:val="00D131D6"/>
    <w:rsid w:val="00D150C6"/>
    <w:rsid w:val="00D34094"/>
    <w:rsid w:val="00D352EF"/>
    <w:rsid w:val="00D45AED"/>
    <w:rsid w:val="00D53CEF"/>
    <w:rsid w:val="00D57694"/>
    <w:rsid w:val="00D576DE"/>
    <w:rsid w:val="00D60A1C"/>
    <w:rsid w:val="00D62D0C"/>
    <w:rsid w:val="00D63748"/>
    <w:rsid w:val="00D6509C"/>
    <w:rsid w:val="00D73747"/>
    <w:rsid w:val="00D75568"/>
    <w:rsid w:val="00D80F8C"/>
    <w:rsid w:val="00D82DF6"/>
    <w:rsid w:val="00D84943"/>
    <w:rsid w:val="00D92BFB"/>
    <w:rsid w:val="00D94EC9"/>
    <w:rsid w:val="00D95E67"/>
    <w:rsid w:val="00D960BB"/>
    <w:rsid w:val="00D97493"/>
    <w:rsid w:val="00DA7B95"/>
    <w:rsid w:val="00DB2A6A"/>
    <w:rsid w:val="00DC5A0C"/>
    <w:rsid w:val="00DD3350"/>
    <w:rsid w:val="00DF3B80"/>
    <w:rsid w:val="00E0022D"/>
    <w:rsid w:val="00E0115A"/>
    <w:rsid w:val="00E0320D"/>
    <w:rsid w:val="00E07B41"/>
    <w:rsid w:val="00E10611"/>
    <w:rsid w:val="00E14A99"/>
    <w:rsid w:val="00E24219"/>
    <w:rsid w:val="00E2458D"/>
    <w:rsid w:val="00E27355"/>
    <w:rsid w:val="00E30CF7"/>
    <w:rsid w:val="00E346C9"/>
    <w:rsid w:val="00E47603"/>
    <w:rsid w:val="00E57A40"/>
    <w:rsid w:val="00E64056"/>
    <w:rsid w:val="00E70B5D"/>
    <w:rsid w:val="00E70E9B"/>
    <w:rsid w:val="00E76598"/>
    <w:rsid w:val="00E826F7"/>
    <w:rsid w:val="00E92D9D"/>
    <w:rsid w:val="00E95B72"/>
    <w:rsid w:val="00E9658C"/>
    <w:rsid w:val="00E96A69"/>
    <w:rsid w:val="00EB301D"/>
    <w:rsid w:val="00EB5B6C"/>
    <w:rsid w:val="00ED188C"/>
    <w:rsid w:val="00ED6320"/>
    <w:rsid w:val="00EE094A"/>
    <w:rsid w:val="00EE310C"/>
    <w:rsid w:val="00EE4010"/>
    <w:rsid w:val="00EE7589"/>
    <w:rsid w:val="00EF3548"/>
    <w:rsid w:val="00EF5C15"/>
    <w:rsid w:val="00F06BCF"/>
    <w:rsid w:val="00F15B69"/>
    <w:rsid w:val="00F22E99"/>
    <w:rsid w:val="00F2607D"/>
    <w:rsid w:val="00F47303"/>
    <w:rsid w:val="00F473E1"/>
    <w:rsid w:val="00F5141A"/>
    <w:rsid w:val="00F560BA"/>
    <w:rsid w:val="00F57BBF"/>
    <w:rsid w:val="00F637D7"/>
    <w:rsid w:val="00F7157D"/>
    <w:rsid w:val="00F73CED"/>
    <w:rsid w:val="00F80D47"/>
    <w:rsid w:val="00F8344A"/>
    <w:rsid w:val="00F86EB9"/>
    <w:rsid w:val="00F925B9"/>
    <w:rsid w:val="00FA2E60"/>
    <w:rsid w:val="00FA4097"/>
    <w:rsid w:val="00FA6124"/>
    <w:rsid w:val="00FA7EAE"/>
    <w:rsid w:val="00FC6A38"/>
    <w:rsid w:val="00FD5B77"/>
    <w:rsid w:val="00FE3A0F"/>
    <w:rsid w:val="00FF144C"/>
    <w:rsid w:val="00FF4EF8"/>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3523"/>
  <w15:chartTrackingRefBased/>
  <w15:docId w15:val="{D4F32BD7-0BC9-3242-8DA2-C368491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26"/>
    <w:pPr>
      <w:ind w:left="720"/>
      <w:contextualSpacing/>
    </w:pPr>
  </w:style>
  <w:style w:type="character" w:styleId="CommentReference">
    <w:name w:val="annotation reference"/>
    <w:basedOn w:val="DefaultParagraphFont"/>
    <w:uiPriority w:val="99"/>
    <w:semiHidden/>
    <w:unhideWhenUsed/>
    <w:rsid w:val="00810506"/>
    <w:rPr>
      <w:sz w:val="16"/>
      <w:szCs w:val="16"/>
    </w:rPr>
  </w:style>
  <w:style w:type="paragraph" w:styleId="CommentText">
    <w:name w:val="annotation text"/>
    <w:basedOn w:val="Normal"/>
    <w:link w:val="CommentTextChar"/>
    <w:uiPriority w:val="99"/>
    <w:unhideWhenUsed/>
    <w:rsid w:val="00810506"/>
    <w:rPr>
      <w:sz w:val="20"/>
      <w:szCs w:val="20"/>
    </w:rPr>
  </w:style>
  <w:style w:type="character" w:customStyle="1" w:styleId="CommentTextChar">
    <w:name w:val="Comment Text Char"/>
    <w:basedOn w:val="DefaultParagraphFont"/>
    <w:link w:val="CommentText"/>
    <w:uiPriority w:val="99"/>
    <w:rsid w:val="00810506"/>
    <w:rPr>
      <w:sz w:val="20"/>
      <w:szCs w:val="20"/>
    </w:rPr>
  </w:style>
  <w:style w:type="paragraph" w:styleId="CommentSubject">
    <w:name w:val="annotation subject"/>
    <w:basedOn w:val="CommentText"/>
    <w:next w:val="CommentText"/>
    <w:link w:val="CommentSubjectChar"/>
    <w:uiPriority w:val="99"/>
    <w:semiHidden/>
    <w:unhideWhenUsed/>
    <w:rsid w:val="00810506"/>
    <w:rPr>
      <w:b/>
      <w:bCs/>
    </w:rPr>
  </w:style>
  <w:style w:type="character" w:customStyle="1" w:styleId="CommentSubjectChar">
    <w:name w:val="Comment Subject Char"/>
    <w:basedOn w:val="CommentTextChar"/>
    <w:link w:val="CommentSubject"/>
    <w:uiPriority w:val="99"/>
    <w:semiHidden/>
    <w:rsid w:val="00810506"/>
    <w:rPr>
      <w:b/>
      <w:bCs/>
      <w:sz w:val="20"/>
      <w:szCs w:val="20"/>
    </w:rPr>
  </w:style>
  <w:style w:type="paragraph" w:styleId="Revision">
    <w:name w:val="Revision"/>
    <w:hidden/>
    <w:uiPriority w:val="99"/>
    <w:semiHidden/>
    <w:rsid w:val="00C74F1D"/>
  </w:style>
  <w:style w:type="character" w:styleId="Hyperlink">
    <w:name w:val="Hyperlink"/>
    <w:basedOn w:val="DefaultParagraphFont"/>
    <w:uiPriority w:val="99"/>
    <w:unhideWhenUsed/>
    <w:rsid w:val="000450EF"/>
    <w:rPr>
      <w:color w:val="0563C1" w:themeColor="hyperlink"/>
      <w:u w:val="single"/>
    </w:rPr>
  </w:style>
  <w:style w:type="character" w:styleId="UnresolvedMention">
    <w:name w:val="Unresolved Mention"/>
    <w:basedOn w:val="DefaultParagraphFont"/>
    <w:uiPriority w:val="99"/>
    <w:semiHidden/>
    <w:unhideWhenUsed/>
    <w:rsid w:val="000450EF"/>
    <w:rPr>
      <w:color w:val="605E5C"/>
      <w:shd w:val="clear" w:color="auto" w:fill="E1DFDD"/>
    </w:rPr>
  </w:style>
  <w:style w:type="paragraph" w:customStyle="1" w:styleId="TableParagraph">
    <w:name w:val="Table Paragraph"/>
    <w:basedOn w:val="Normal"/>
    <w:uiPriority w:val="1"/>
    <w:qFormat/>
    <w:rsid w:val="00243ACD"/>
    <w:pPr>
      <w:widowControl w:val="0"/>
      <w:autoSpaceDE w:val="0"/>
      <w:autoSpaceDN w:val="0"/>
      <w:spacing w:line="245" w:lineRule="exact"/>
      <w:ind w:left="107"/>
    </w:pPr>
    <w:rPr>
      <w:rFonts w:ascii="Arial" w:eastAsia="Arial" w:hAnsi="Arial" w:cs="Arial"/>
      <w:sz w:val="22"/>
      <w:szCs w:val="22"/>
    </w:rPr>
  </w:style>
  <w:style w:type="paragraph" w:styleId="NormalWeb">
    <w:name w:val="Normal (Web)"/>
    <w:basedOn w:val="Normal"/>
    <w:uiPriority w:val="99"/>
    <w:semiHidden/>
    <w:unhideWhenUsed/>
    <w:rsid w:val="006230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2301B"/>
  </w:style>
  <w:style w:type="character" w:customStyle="1" w:styleId="A9">
    <w:name w:val="A9"/>
    <w:uiPriority w:val="99"/>
    <w:rsid w:val="00973C94"/>
    <w:rPr>
      <w:rFonts w:cs="Gotham Book"/>
      <w:color w:val="000000"/>
      <w:sz w:val="36"/>
      <w:szCs w:val="36"/>
    </w:rPr>
  </w:style>
  <w:style w:type="paragraph" w:styleId="Header">
    <w:name w:val="header"/>
    <w:basedOn w:val="Normal"/>
    <w:link w:val="HeaderChar"/>
    <w:uiPriority w:val="99"/>
    <w:unhideWhenUsed/>
    <w:rsid w:val="00973C94"/>
    <w:pPr>
      <w:tabs>
        <w:tab w:val="center" w:pos="4680"/>
        <w:tab w:val="right" w:pos="9360"/>
      </w:tabs>
    </w:pPr>
  </w:style>
  <w:style w:type="character" w:customStyle="1" w:styleId="HeaderChar">
    <w:name w:val="Header Char"/>
    <w:basedOn w:val="DefaultParagraphFont"/>
    <w:link w:val="Header"/>
    <w:uiPriority w:val="99"/>
    <w:rsid w:val="00973C94"/>
  </w:style>
  <w:style w:type="paragraph" w:styleId="Footer">
    <w:name w:val="footer"/>
    <w:basedOn w:val="Normal"/>
    <w:link w:val="FooterChar"/>
    <w:uiPriority w:val="99"/>
    <w:unhideWhenUsed/>
    <w:rsid w:val="00973C94"/>
    <w:pPr>
      <w:tabs>
        <w:tab w:val="center" w:pos="4680"/>
        <w:tab w:val="right" w:pos="9360"/>
      </w:tabs>
    </w:pPr>
  </w:style>
  <w:style w:type="character" w:customStyle="1" w:styleId="FooterChar">
    <w:name w:val="Footer Char"/>
    <w:basedOn w:val="DefaultParagraphFont"/>
    <w:link w:val="Footer"/>
    <w:uiPriority w:val="99"/>
    <w:rsid w:val="00973C94"/>
  </w:style>
  <w:style w:type="character" w:styleId="FollowedHyperlink">
    <w:name w:val="FollowedHyperlink"/>
    <w:basedOn w:val="DefaultParagraphFont"/>
    <w:uiPriority w:val="99"/>
    <w:semiHidden/>
    <w:unhideWhenUsed/>
    <w:rsid w:val="0062379E"/>
    <w:rPr>
      <w:color w:val="954F72" w:themeColor="followedHyperlink"/>
      <w:u w:val="single"/>
    </w:rPr>
  </w:style>
  <w:style w:type="paragraph" w:customStyle="1" w:styleId="Table">
    <w:name w:val="Table"/>
    <w:basedOn w:val="Normal"/>
    <w:rsid w:val="009B1144"/>
    <w:pPr>
      <w:widowControl w:val="0"/>
    </w:pPr>
    <w:rPr>
      <w:rFonts w:ascii="Arial" w:eastAsia="Times New Roman" w:hAnsi="Arial" w:cs="Times New Roman"/>
      <w:sz w:val="18"/>
      <w:szCs w:val="20"/>
    </w:rPr>
  </w:style>
  <w:style w:type="table" w:styleId="TableGrid">
    <w:name w:val="Table Grid"/>
    <w:aliases w:val="Table Grid No Line"/>
    <w:basedOn w:val="TableNormal"/>
    <w:uiPriority w:val="39"/>
    <w:rsid w:val="009B114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44643">
      <w:bodyDiv w:val="1"/>
      <w:marLeft w:val="0"/>
      <w:marRight w:val="0"/>
      <w:marTop w:val="0"/>
      <w:marBottom w:val="0"/>
      <w:divBdr>
        <w:top w:val="none" w:sz="0" w:space="0" w:color="auto"/>
        <w:left w:val="none" w:sz="0" w:space="0" w:color="auto"/>
        <w:bottom w:val="none" w:sz="0" w:space="0" w:color="auto"/>
        <w:right w:val="none" w:sz="0" w:space="0" w:color="auto"/>
      </w:divBdr>
      <w:divsChild>
        <w:div w:id="1800032743">
          <w:marLeft w:val="0"/>
          <w:marRight w:val="0"/>
          <w:marTop w:val="0"/>
          <w:marBottom w:val="0"/>
          <w:divBdr>
            <w:top w:val="none" w:sz="0" w:space="0" w:color="auto"/>
            <w:left w:val="none" w:sz="0" w:space="0" w:color="auto"/>
            <w:bottom w:val="none" w:sz="0" w:space="0" w:color="auto"/>
            <w:right w:val="none" w:sz="0" w:space="0" w:color="auto"/>
          </w:divBdr>
          <w:divsChild>
            <w:div w:id="1209300723">
              <w:marLeft w:val="0"/>
              <w:marRight w:val="0"/>
              <w:marTop w:val="0"/>
              <w:marBottom w:val="0"/>
              <w:divBdr>
                <w:top w:val="none" w:sz="0" w:space="0" w:color="auto"/>
                <w:left w:val="none" w:sz="0" w:space="0" w:color="auto"/>
                <w:bottom w:val="none" w:sz="0" w:space="0" w:color="auto"/>
                <w:right w:val="none" w:sz="0" w:space="0" w:color="auto"/>
              </w:divBdr>
              <w:divsChild>
                <w:div w:id="1170095110">
                  <w:marLeft w:val="0"/>
                  <w:marRight w:val="0"/>
                  <w:marTop w:val="0"/>
                  <w:marBottom w:val="0"/>
                  <w:divBdr>
                    <w:top w:val="none" w:sz="0" w:space="0" w:color="auto"/>
                    <w:left w:val="none" w:sz="0" w:space="0" w:color="auto"/>
                    <w:bottom w:val="none" w:sz="0" w:space="0" w:color="auto"/>
                    <w:right w:val="none" w:sz="0" w:space="0" w:color="auto"/>
                  </w:divBdr>
                  <w:divsChild>
                    <w:div w:id="1789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6477">
      <w:bodyDiv w:val="1"/>
      <w:marLeft w:val="0"/>
      <w:marRight w:val="0"/>
      <w:marTop w:val="0"/>
      <w:marBottom w:val="0"/>
      <w:divBdr>
        <w:top w:val="none" w:sz="0" w:space="0" w:color="auto"/>
        <w:left w:val="none" w:sz="0" w:space="0" w:color="auto"/>
        <w:bottom w:val="none" w:sz="0" w:space="0" w:color="auto"/>
        <w:right w:val="none" w:sz="0" w:space="0" w:color="auto"/>
      </w:divBdr>
    </w:div>
    <w:div w:id="11609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ringworkstx.com/ogsiveo-prescribing-in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1BFE-A008-8049-8E95-838B8D91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Stiner</dc:creator>
  <cp:keywords/>
  <dc:description/>
  <cp:lastModifiedBy>Alison Conti</cp:lastModifiedBy>
  <cp:revision>9</cp:revision>
  <cp:lastPrinted>2024-01-24T19:48:00Z</cp:lastPrinted>
  <dcterms:created xsi:type="dcterms:W3CDTF">2024-03-28T04:08:00Z</dcterms:created>
  <dcterms:modified xsi:type="dcterms:W3CDTF">2024-03-28T20:16:00Z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72328-dea9-4aa4-8c21-1bb9517302d1_Enabled">
    <vt:lpwstr>true</vt:lpwstr>
  </property>
  <property fmtid="{D5CDD505-2E9C-101B-9397-08002B2CF9AE}" pid="3" name="MSIP_Label_06c72328-dea9-4aa4-8c21-1bb9517302d1_SetDate">
    <vt:lpwstr>2022-12-01T13:12:08Z</vt:lpwstr>
  </property>
  <property fmtid="{D5CDD505-2E9C-101B-9397-08002B2CF9AE}" pid="4" name="MSIP_Label_06c72328-dea9-4aa4-8c21-1bb9517302d1_Method">
    <vt:lpwstr>Standard</vt:lpwstr>
  </property>
  <property fmtid="{D5CDD505-2E9C-101B-9397-08002B2CF9AE}" pid="5" name="MSIP_Label_06c72328-dea9-4aa4-8c21-1bb9517302d1_Name">
    <vt:lpwstr>Unclassified</vt:lpwstr>
  </property>
  <property fmtid="{D5CDD505-2E9C-101B-9397-08002B2CF9AE}" pid="6" name="MSIP_Label_06c72328-dea9-4aa4-8c21-1bb9517302d1_SiteId">
    <vt:lpwstr>8ac4225d-43e6-415c-ae38-6e4f1f306107</vt:lpwstr>
  </property>
  <property fmtid="{D5CDD505-2E9C-101B-9397-08002B2CF9AE}" pid="7" name="MSIP_Label_06c72328-dea9-4aa4-8c21-1bb9517302d1_ActionId">
    <vt:lpwstr>9ffe754c-dbed-4199-89fc-a23dcc2614d3</vt:lpwstr>
  </property>
  <property fmtid="{D5CDD505-2E9C-101B-9397-08002B2CF9AE}" pid="8" name="MSIP_Label_06c72328-dea9-4aa4-8c21-1bb9517302d1_ContentBits">
    <vt:lpwstr>0</vt:lpwstr>
  </property>
</Properties>
</file>